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42.jpg" ContentType="image/jpeg"/>
  <Override PartName="/word/media/rId48.png" ContentType="image/png"/>
  <Override PartName="/word/media/rId57.jpg" ContentType="image/jpeg"/>
  <Override PartName="/word/media/rId72.jpg" ContentType="image/jpeg"/>
  <Override PartName="/word/media/rId83.png" ContentType="image/png"/>
  <Override PartName="/word/media/rId90.png" ContentType="image/png"/>
  <Override PartName="/word/media/rId94.png" ContentType="image/png"/>
  <Override PartName="/word/media/rId113.png" ContentType="image/png"/>
  <Override PartName="/word/media/rId118.jpg" ContentType="image/jpeg"/>
  <Override PartName="/word/media/rId123.jpg" ContentType="image/jpeg"/>
  <Override PartName="/word/media/rId127.jpg" ContentType="image/jpeg"/>
  <Override PartName="/word/media/rId135.jpg" ContentType="image/jpeg"/>
  <Override PartName="/word/media/rId149.png" ContentType="image/png"/>
  <Override PartName="/word/media/rId153.png" ContentType="image/png"/>
  <Override PartName="/word/media/rId164.png" ContentType="image/png"/>
  <Override PartName="/word/media/rId169.jpg" ContentType="image/jpeg"/>
  <Override PartName="/word/media/rId173.jpg" ContentType="image/jpeg"/>
  <Override PartName="/word/media/rId177.jpg" ContentType="image/jpeg"/>
  <Override PartName="/word/media/rId181.png" ContentType="image/png"/>
  <Override PartName="/word/media/rId185.png" ContentType="image/png"/>
  <Override PartName="/word/media/rId190.png" ContentType="image/png"/>
  <Override PartName="/word/media/rId196.jpg" ContentType="image/jpeg"/>
  <Override PartName="/word/media/rId203.jpg" ContentType="image/jpeg"/>
  <Override PartName="/word/media/rId208.png" ContentType="image/png"/>
  <Override PartName="/word/media/rId212.png" ContentType="image/png"/>
  <Override PartName="/word/media/rId217.png" ContentType="image/png"/>
  <Override PartName="/word/media/rId223.jpg" ContentType="image/jpeg"/>
  <Override PartName="/word/media/rId231.png" ContentType="image/png"/>
  <Override PartName="/word/media/rId235.png" ContentType="image/png"/>
  <Override PartName="/word/media/rId240.png" ContentType="image/png"/>
  <Override PartName="/word/media/rId245.png" ContentType="image/png"/>
  <Override PartName="/word/media/rId251.png" ContentType="image/png"/>
  <Override PartName="/word/media/rId263.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2023</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35"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7" w:name="copyright-and-license"/>
    <w:p>
      <w:pPr>
        <w:pStyle w:val="Heading2"/>
      </w:pPr>
      <w:r>
        <w:t xml:space="preserve">Copyright and License</w:t>
      </w:r>
    </w:p>
    <w:p>
      <w:pPr>
        <w:pStyle w:val="FirstParagraph"/>
      </w:pPr>
      <w:r>
        <w:t xml:space="preserve">© 2024 Curtis M. Lively</w:t>
      </w:r>
      <w:r>
        <w:br/>
      </w:r>
      <w:r>
        <w:t xml:space="preserve">Illustrations © 2024 Zoe Michelle Dinges</w:t>
      </w:r>
    </w:p>
    <w:p>
      <w:pPr>
        <w:pStyle w:val="BodyText"/>
      </w:pP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 4.0 International</w:t>
      </w:r>
    </w:p>
    <w:p>
      <w:pPr>
        <w:pStyle w:val="BodyText"/>
      </w:pPr>
      <w:r>
        <w:rPr>
          <w:bCs/>
          <w:b/>
        </w:rPr>
        <w:t xml:space="preserve">You are free to:</w:t>
      </w:r>
    </w:p>
    <w:p>
      <w:pPr>
        <w:numPr>
          <w:ilvl w:val="0"/>
          <w:numId w:val="1001"/>
        </w:numPr>
        <w:pStyle w:val="Compact"/>
      </w:pPr>
      <w:r>
        <w:rPr>
          <w:bCs/>
          <w:b/>
        </w:rPr>
        <w:t xml:space="preserve">Share—</w:t>
      </w:r>
      <w:r>
        <w:t xml:space="preserve">copy and redistribute the material in any medium or format for any purpose, even commercially.</w:t>
      </w:r>
      <w:r>
        <w:br/>
      </w:r>
    </w:p>
    <w:p>
      <w:pPr>
        <w:numPr>
          <w:ilvl w:val="0"/>
          <w:numId w:val="1001"/>
        </w:numPr>
        <w:pStyle w:val="Compact"/>
      </w:pPr>
      <w:r>
        <w:rPr>
          <w:bCs/>
          <w:b/>
        </w:rPr>
        <w:t xml:space="preserve">Adapt—</w:t>
      </w:r>
      <w:r>
        <w:t xml:space="preserve">remix, transform, and build upon the material for any purpose, even commercially.</w:t>
      </w:r>
    </w:p>
    <w:p>
      <w:pPr>
        <w:pStyle w:val="FirstParagraph"/>
      </w:pPr>
      <w:r>
        <w:t xml:space="preserve">The licensor cannot revoke these freedoms as long as you follow the license terms.</w:t>
      </w:r>
    </w:p>
    <w:p>
      <w:pPr>
        <w:pStyle w:val="BodyText"/>
      </w:pPr>
      <w:r>
        <w:rPr>
          <w:bCs/>
          <w:b/>
        </w:rPr>
        <w:t xml:space="preserve">Under the following terms:</w:t>
      </w:r>
    </w:p>
    <w:p>
      <w:pPr>
        <w:numPr>
          <w:ilvl w:val="0"/>
          <w:numId w:val="1002"/>
        </w:numPr>
        <w:pStyle w:val="Compact"/>
      </w:pPr>
      <w:r>
        <w:rPr>
          <w:bCs/>
          <w:b/>
        </w:rPr>
        <w:t xml:space="preserve">Attribution—</w:t>
      </w:r>
      <w:r>
        <w:t xml:space="preserve">You must give</w:t>
      </w:r>
      <w:r>
        <w:t xml:space="preserve"> </w:t>
      </w:r>
      <w:hyperlink r:id="rId22">
        <w:r>
          <w:rPr>
            <w:rStyle w:val="Hyperlink"/>
          </w:rPr>
          <w:t xml:space="preserve">appropriate credit</w:t>
        </w:r>
      </w:hyperlink>
      <w:r>
        <w:t xml:space="preserve">, provide a link to the license, and</w:t>
      </w:r>
      <w:r>
        <w:t xml:space="preserve"> </w:t>
      </w:r>
      <w:hyperlink r:id="rId23">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02"/>
        </w:numPr>
        <w:pStyle w:val="Compact"/>
      </w:pPr>
      <w:r>
        <w:rPr>
          <w:bCs/>
          <w:b/>
        </w:rPr>
        <w:t xml:space="preserve">No additional restrictions—</w:t>
      </w:r>
      <w:r>
        <w:t xml:space="preserve">You may not apply legal terms or</w:t>
      </w:r>
      <w:r>
        <w:t xml:space="preserve"> </w:t>
      </w:r>
      <w:hyperlink r:id="rId24">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03"/>
        </w:numPr>
        <w:pStyle w:val="Compact"/>
      </w:pPr>
      <w:r>
        <w:t xml:space="preserve">You do not have to comply with the license for elements of the material in the public domain or where your use is permitted by an applicable</w:t>
      </w:r>
      <w:r>
        <w:t xml:space="preserve"> </w:t>
      </w:r>
      <w:hyperlink r:id="rId25">
        <w:r>
          <w:rPr>
            <w:rStyle w:val="Hyperlink"/>
          </w:rPr>
          <w:t xml:space="preserve">exception or limitation</w:t>
        </w:r>
      </w:hyperlink>
      <w:r>
        <w:t xml:space="preserve">.</w:t>
      </w:r>
      <w:r>
        <w:br/>
      </w:r>
    </w:p>
    <w:p>
      <w:pPr>
        <w:numPr>
          <w:ilvl w:val="0"/>
          <w:numId w:val="1003"/>
        </w:numPr>
        <w:pStyle w:val="Compact"/>
      </w:pPr>
      <w:r>
        <w:t xml:space="preserve">No warranties are given. The license may not give you all of the permissions necessary for your intended use. For example, other rights such as</w:t>
      </w:r>
      <w:r>
        <w:t xml:space="preserve"> </w:t>
      </w:r>
      <w:hyperlink r:id="rId26">
        <w:r>
          <w:rPr>
            <w:rStyle w:val="Hyperlink"/>
          </w:rPr>
          <w:t xml:space="preserve">publicity, privacy, or moral rights</w:t>
        </w:r>
      </w:hyperlink>
      <w:r>
        <w:t xml:space="preserve"> </w:t>
      </w:r>
      <w:r>
        <w:t xml:space="preserve">may limit how you use the material.</w:t>
      </w:r>
    </w:p>
    <w:bookmarkEnd w:id="27"/>
    <w:bookmarkStart w:id="32" w:name="publisher"/>
    <w:p>
      <w:pPr>
        <w:pStyle w:val="Heading2"/>
      </w:pPr>
      <w:r>
        <w:t xml:space="preserve">Publisher</w:t>
      </w:r>
    </w:p>
    <w:p>
      <w:pPr>
        <w:pStyle w:val="FirstParagraph"/>
      </w:pPr>
      <w:r>
        <w:drawing>
          <wp:inline>
            <wp:extent cx="1798800" cy="255600"/>
            <wp:effectExtent b="0" l="0" r="0" t="0"/>
            <wp:docPr descr="" title="" id="29" name="Picture"/>
            <a:graphic>
              <a:graphicData uri="http://schemas.openxmlformats.org/drawingml/2006/picture">
                <pic:pic>
                  <pic:nvPicPr>
                    <pic:cNvPr descr="images/iublpub_logo.png" id="30" name="Picture"/>
                    <pic:cNvPicPr>
                      <a:picLocks noChangeArrowheads="1" noChangeAspect="1"/>
                    </pic:cNvPicPr>
                  </pic:nvPicPr>
                  <pic:blipFill>
                    <a:blip r:embed="rId28"/>
                    <a:stretch>
                      <a:fillRect/>
                    </a:stretch>
                  </pic:blipFill>
                  <pic:spPr bwMode="auto">
                    <a:xfrm>
                      <a:off x="0" y="0"/>
                      <a:ext cx="1798800" cy="255600"/>
                    </a:xfrm>
                    <a:prstGeom prst="rect">
                      <a:avLst/>
                    </a:prstGeom>
                    <a:noFill/>
                    <a:ln w="9525">
                      <a:noFill/>
                      <a:headEnd/>
                      <a:tailEnd/>
                    </a:ln>
                  </pic:spPr>
                </pic:pic>
              </a:graphicData>
            </a:graphic>
          </wp:inline>
        </w:drawing>
      </w:r>
    </w:p>
    <w:p>
      <w:pPr>
        <w:pStyle w:val="BodyText"/>
      </w:pPr>
      <w:hyperlink r:id="rId31">
        <w:r>
          <w:rPr>
            <w:rStyle w:val="Hyperlink"/>
          </w:rPr>
          <w:t xml:space="preserve">Indiana University Bloomington Libraries Publishing</w:t>
        </w:r>
      </w:hyperlink>
      <w:r>
        <w:br/>
      </w:r>
      <w:r>
        <w:t xml:space="preserve">1320 E. Tenth Street</w:t>
      </w:r>
      <w:r>
        <w:br/>
      </w:r>
      <w:r>
        <w:t xml:space="preserve">Bloomington, IN 47405</w:t>
      </w:r>
    </w:p>
    <w:bookmarkEnd w:id="32"/>
    <w:bookmarkStart w:id="34" w:name="how-to-cite"/>
    <w:p>
      <w:pPr>
        <w:pStyle w:val="Heading2"/>
      </w:pPr>
      <w:r>
        <w:t xml:space="preserve">How to Cite</w:t>
      </w:r>
    </w:p>
    <w:p>
      <w:pPr>
        <w:pStyle w:val="FirstParagraph"/>
      </w:pPr>
      <w:r>
        <w:t xml:space="preserve">Lively, C.M. (2024).</w:t>
      </w:r>
      <w:r>
        <w:t xml:space="preserve"> </w:t>
      </w:r>
      <w:hyperlink r:id="rId33">
        <w:r>
          <w:rPr>
            <w:rStyle w:val="Hyperlink"/>
            <w:iCs/>
            <w:i/>
          </w:rPr>
          <w:t xml:space="preserve">Through the Looking Glass: I. Why Cross-Fertilize?</w:t>
        </w:r>
      </w:hyperlink>
      <w:r>
        <w:t xml:space="preserve"> </w:t>
      </w:r>
      <w:r>
        <w:t xml:space="preserve">Indiana University Bloomington Libraries Publishing.</w:t>
      </w:r>
    </w:p>
    <w:bookmarkEnd w:id="34"/>
    <w:bookmarkEnd w:id="35"/>
    <w:bookmarkStart w:id="71" w:name="sec-why-sex"/>
    <w:p>
      <w:pPr>
        <w:pStyle w:val="Heading1"/>
      </w:pPr>
      <w:r>
        <w:t xml:space="preserve">1. Why Sex?</w:t>
      </w:r>
    </w:p>
    <w:p>
      <w:pPr>
        <w:pStyle w:val="FirstParagraph"/>
      </w:pPr>
      <w:r>
        <w:drawing>
          <wp:inline>
            <wp:extent cx="1831848" cy="2026920"/>
            <wp:effectExtent b="0" l="0" r="0" t="0"/>
            <wp:docPr descr="" title="" id="37" name="Picture"/>
            <a:graphic>
              <a:graphicData uri="http://schemas.openxmlformats.org/drawingml/2006/picture">
                <pic:pic>
                  <pic:nvPicPr>
                    <pic:cNvPr descr="images/fig1-1.jpeg" id="38" name="Picture"/>
                    <pic:cNvPicPr>
                      <a:picLocks noChangeArrowheads="1" noChangeAspect="1"/>
                    </pic:cNvPicPr>
                  </pic:nvPicPr>
                  <pic:blipFill>
                    <a:blip r:embed="rId36"/>
                    <a:stretch>
                      <a:fillRect/>
                    </a:stretch>
                  </pic:blipFill>
                  <pic:spPr bwMode="auto">
                    <a:xfrm>
                      <a:off x="0" y="0"/>
                      <a:ext cx="1831848" cy="2026920"/>
                    </a:xfrm>
                    <a:prstGeom prst="rect">
                      <a:avLst/>
                    </a:prstGeom>
                    <a:noFill/>
                    <a:ln w="9525">
                      <a:noFill/>
                      <a:headEnd/>
                      <a:tailEnd/>
                    </a:ln>
                  </pic:spPr>
                </pic:pic>
              </a:graphicData>
            </a:graphic>
          </wp:inline>
        </w:drawing>
      </w:r>
    </w:p>
    <w:bookmarkStart w:id="39"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 book,</w:t>
      </w:r>
      <w:r>
        <w:t xml:space="preserve"> </w:t>
      </w:r>
      <w:r>
        <w:rPr>
          <w:iCs/>
          <w:i/>
        </w:rPr>
        <w:t xml:space="preserve">Sex and Evolution</w:t>
      </w:r>
      <w:r>
        <w:t xml:space="preserve">, which contains the following text</w:t>
      </w:r>
      <w:r>
        <w:t xml:space="preserve"> </w:t>
      </w:r>
      <w:r>
        <w:t xml:space="preserve">(</w:t>
      </w:r>
      <w:hyperlink w:anchor="ref-williams1975a">
        <w:r>
          <w:rPr>
            <w:rStyle w:val="Hyperlink"/>
          </w:rPr>
          <w:t xml:space="preserve">1975</w:t>
        </w:r>
      </w:hyperlink>
      <w:r>
        <w:t xml:space="preserve">)</w:t>
      </w:r>
      <w:r>
        <w:t xml:space="preserve">:</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w:t>
      </w:r>
      <w:r>
        <w:t xml:space="preserve"> </w:t>
      </w:r>
      <w:r>
        <w:rPr>
          <w:iCs/>
          <w:i/>
        </w:rPr>
        <w:t xml:space="preserve">The Structure of Scientific Revolutions</w:t>
      </w:r>
      <w:r>
        <w:t xml:space="preserve"> </w:t>
      </w:r>
      <w:r>
        <w:t xml:space="preserve">as an undergraduate</w:t>
      </w:r>
      <w:r>
        <w:t xml:space="preserve"> </w:t>
      </w:r>
      <w:r>
        <w:t xml:space="preserve">(</w:t>
      </w:r>
      <w:hyperlink w:anchor="ref-kuhn1970a">
        <w:r>
          <w:rPr>
            <w:rStyle w:val="Hyperlink"/>
          </w:rPr>
          <w:t xml:space="preserve">1970</w:t>
        </w:r>
      </w:hyperlink>
      <w:r>
        <w:t xml:space="preserve">)</w:t>
      </w:r>
      <w:r>
        <w:t xml:space="preserve">. Kuhn 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39"/>
    <w:bookmarkStart w:id="66" w:name="the-problem"/>
    <w:p>
      <w:pPr>
        <w:pStyle w:val="Heading2"/>
      </w:pPr>
      <w:r>
        <w:t xml:space="preserve">1.2 The Problem</w:t>
      </w:r>
    </w:p>
    <w:p>
      <w:pPr>
        <w:pStyle w:val="FirstParagraph"/>
      </w:pPr>
      <w:r>
        <w:t xml:space="preserve">There are many problems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w:t>
      </w:r>
      <w:r>
        <w:t xml:space="preserve"> </w:t>
      </w:r>
      <w:r>
        <w:t xml:space="preserve">these costs do not form the core of the paradox. Historically, the paradox of sex stems from two things: (1) the cost of meiosis, and (2) the cost of producing males.</w:t>
      </w:r>
    </w:p>
    <w:bookmarkStart w:id="41"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0"/>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 had already shown that an allele causing self-fertilization would rapidly spread to fixation, barring severe inbreeding depression</w:t>
      </w:r>
      <w:r>
        <w:t xml:space="preserve"> </w:t>
      </w:r>
      <w:r>
        <w:t xml:space="preserve">(</w:t>
      </w:r>
      <w:hyperlink w:anchor="ref-fisher1941a">
        <w:r>
          <w:rPr>
            <w:rStyle w:val="Hyperlink"/>
          </w:rPr>
          <w:t xml:space="preserve">1941</w:t>
        </w:r>
      </w:hyperlink>
      <w:r>
        <w:t xml:space="preserve">)</w:t>
      </w:r>
      <w:r>
        <w:t xml:space="preserve">. So, why cross-fertilize? The persistence of cross-fertilization despite the cost of meiosis formed a paradox. This paradox created the crisis that Williams saw in evolutionary biology.</w:t>
      </w:r>
    </w:p>
    <w:bookmarkEnd w:id="41"/>
    <w:bookmarkStart w:id="47"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45" w:name="fig-1.1"/>
          <w:p>
            <w:pPr>
              <w:pStyle w:val="Compact"/>
              <w:jc w:val="center"/>
            </w:pPr>
            <w:r>
              <w:drawing>
                <wp:inline>
                  <wp:extent cx="3721608" cy="4559808"/>
                  <wp:effectExtent b="0" l="0" r="0" t="0"/>
                  <wp:docPr descr="" title="" id="43" name="Picture"/>
                  <a:graphic>
                    <a:graphicData uri="http://schemas.openxmlformats.org/drawingml/2006/picture">
                      <pic:pic>
                        <pic:nvPicPr>
                          <pic:cNvPr descr="images/fig1-2.jpg" id="44" name="Picture"/>
                          <pic:cNvPicPr>
                            <a:picLocks noChangeArrowheads="1" noChangeAspect="1"/>
                          </pic:cNvPicPr>
                        </pic:nvPicPr>
                        <pic:blipFill>
                          <a:blip r:embed="rId42"/>
                          <a:stretch>
                            <a:fillRect/>
                          </a:stretch>
                        </pic:blipFill>
                        <pic:spPr bwMode="auto">
                          <a:xfrm>
                            <a:off x="0" y="0"/>
                            <a:ext cx="3721608" cy="45598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45"/>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46"/>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47"/>
    <w:bookmarkStart w:id="54"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53" w:name="fig-1.2"/>
          <w:p>
            <w:pPr>
              <w:pStyle w:val="Compact"/>
              <w:jc w:val="center"/>
            </w:pPr>
            <w:r>
              <w:drawing>
                <wp:inline>
                  <wp:extent cx="3318140" cy="4734084"/>
                  <wp:effectExtent b="0" l="0" r="0" t="0"/>
                  <wp:docPr descr="" title="" id="49" name="Picture"/>
                  <a:graphic>
                    <a:graphicData uri="http://schemas.openxmlformats.org/drawingml/2006/picture">
                      <pic:pic>
                        <pic:nvPicPr>
                          <pic:cNvPr descr="images/fig1-3_hr.png" id="50" name="Picture"/>
                          <pic:cNvPicPr>
                            <a:picLocks noChangeArrowheads="1" noChangeAspect="1"/>
                          </pic:cNvPicPr>
                        </pic:nvPicPr>
                        <pic:blipFill>
                          <a:blip r:embed="rId48"/>
                          <a:stretch>
                            <a:fillRect/>
                          </a:stretch>
                        </pic:blipFill>
                        <pic:spPr bwMode="auto">
                          <a:xfrm>
                            <a:off x="0" y="0"/>
                            <a:ext cx="3318140" cy="47340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w:t>
            </w:r>
            <w:r>
              <w:t xml:space="preserve"> </w:t>
            </w:r>
            <w:r>
              <w:t xml:space="preserve">(top).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w:t>
            </w:r>
            <w:r>
              <w:t xml:space="preserve"> </w:t>
            </w:r>
            <w:r>
              <w:t xml:space="preserve">(bottom).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R code for the simulation, including interactive graphical output, can be found</w:t>
            </w:r>
            <w:r>
              <w:t xml:space="preserve"> </w:t>
            </w:r>
            <w:hyperlink r:id="rId51">
              <w:r>
                <w:rPr>
                  <w:rStyle w:val="Hyperlink"/>
                </w:rPr>
                <w:t xml:space="preserve">here</w:t>
              </w:r>
            </w:hyperlink>
            <w:r>
              <w:t xml:space="preserve">. The interactive graph can also be run</w:t>
            </w:r>
            <w:r>
              <w:t xml:space="preserve"> </w:t>
            </w:r>
            <w:hyperlink r:id="rId52">
              <w:r>
                <w:rPr>
                  <w:rStyle w:val="Hyperlink"/>
                </w:rPr>
                <w:t xml:space="preserve">here</w:t>
              </w:r>
            </w:hyperlink>
            <w:r>
              <w:t xml:space="preserve"> </w:t>
            </w:r>
            <w:r>
              <w:t xml:space="preserve">for users without R.</w:t>
            </w:r>
          </w:p>
          <w:bookmarkEnd w:id="53"/>
        </w:tc>
      </w:tr>
    </w:tbl>
    <w:bookmarkEnd w:id="54"/>
    <w:bookmarkStart w:id="56"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55"/>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56"/>
    <w:bookmarkStart w:id="65"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 found that crosses between the different morphs of the same species resulted in a very successful production of seeds, but crosses between unrelated individuals of the same morph were dramatically less successful</w:t>
      </w:r>
      <w:r>
        <w:t xml:space="preserve"> </w:t>
      </w:r>
      <w:r>
        <w:t xml:space="preserve">(</w:t>
      </w:r>
      <w:hyperlink w:anchor="ref-darwin1862a">
        <w:r>
          <w:rPr>
            <w:rStyle w:val="Hyperlink"/>
          </w:rPr>
          <w:t xml:space="preserve">1862</w:t>
        </w:r>
      </w:hyperlink>
      <w:r>
        <w:t xml:space="preserve">)</w:t>
      </w:r>
      <w:r>
        <w:t xml:space="preserve">.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fig-1.3"/>
          <w:p>
            <w:pPr>
              <w:pStyle w:val="Compact"/>
              <w:jc w:val="center"/>
            </w:pPr>
            <w:r>
              <w:drawing>
                <wp:inline>
                  <wp:extent cx="5943600" cy="2650146"/>
                  <wp:effectExtent b="0" l="0" r="0" t="0"/>
                  <wp:docPr descr="" title="" id="58" name="Picture"/>
                  <a:graphic>
                    <a:graphicData uri="http://schemas.openxmlformats.org/drawingml/2006/picture">
                      <pic:pic>
                        <pic:nvPicPr>
                          <pic:cNvPr descr="images/fig1-4.jpg" id="59" name="Picture"/>
                          <pic:cNvPicPr>
                            <a:picLocks noChangeArrowheads="1" noChangeAspect="1"/>
                          </pic:cNvPicPr>
                        </pic:nvPicPr>
                        <pic:blipFill>
                          <a:blip r:embed="rId57"/>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 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0"/>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61"/>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62"/>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63"/>
      </w:r>
    </w:p>
    <w:p>
      <w:pPr>
        <w:pStyle w:val="BodyText"/>
      </w:pPr>
      <w:r>
        <w:t xml:space="preserve">Over 100 years later, W. D. Hamilton</w:t>
      </w:r>
      <w:r>
        <w:t xml:space="preserve"> </w:t>
      </w:r>
      <w:r>
        <w:t xml:space="preserve">(</w:t>
      </w:r>
      <w:hyperlink w:anchor="ref-hamilton1975a">
        <w:r>
          <w:rPr>
            <w:rStyle w:val="Hyperlink"/>
          </w:rPr>
          <w:t xml:space="preserve">1975</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p>
    <w:p>
      <w:pPr>
        <w:pStyle w:val="BodyText"/>
      </w:pP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65"/>
    <w:bookmarkEnd w:id="66"/>
    <w:bookmarkStart w:id="67" w:name="summary"/>
    <w:p>
      <w:pPr>
        <w:pStyle w:val="Heading2"/>
      </w:pPr>
      <w:r>
        <w:t xml:space="preserve">1.3 Summary</w:t>
      </w:r>
    </w:p>
    <w:p>
      <w:pPr>
        <w:numPr>
          <w:ilvl w:val="0"/>
          <w:numId w:val="1004"/>
        </w:numPr>
        <w:pStyle w:val="Compact"/>
      </w:pPr>
      <w:r>
        <w:t xml:space="preserve">Obligate sexual reproduction is subject to invasion and replacement by all-female asexual lineages that do not pay the cost of males.</w:t>
      </w:r>
    </w:p>
    <w:p>
      <w:pPr>
        <w:numPr>
          <w:ilvl w:val="0"/>
          <w:numId w:val="1004"/>
        </w:numPr>
        <w:pStyle w:val="Compact"/>
      </w:pPr>
      <w:r>
        <w:t xml:space="preserve">Obligate outcrossing in simultaneous hermaphrodites is subject to invasion and replacement by self-fertilization unless inbreeding depression is severe.</w:t>
      </w:r>
    </w:p>
    <w:p>
      <w:pPr>
        <w:numPr>
          <w:ilvl w:val="0"/>
          <w:numId w:val="1004"/>
        </w:numPr>
        <w:pStyle w:val="Compact"/>
      </w:pPr>
      <w:r>
        <w:t xml:space="preserve">The exchange of DNA between different parental chromosomes (recombination) is similarly paradoxical.</w:t>
      </w:r>
    </w:p>
    <w:p>
      <w:pPr>
        <w:numPr>
          <w:ilvl w:val="0"/>
          <w:numId w:val="1004"/>
        </w:numPr>
        <w:pStyle w:val="Compact"/>
      </w:pPr>
      <w:r>
        <w:t xml:space="preserve">Why then are recombination and cross-fertilization so common?</w:t>
      </w:r>
    </w:p>
    <w:bookmarkEnd w:id="67"/>
    <w:bookmarkStart w:id="70"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68"/>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69"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69"/>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0"/>
    <w:bookmarkEnd w:id="71"/>
    <w:bookmarkStart w:id="117" w:name="sec-eco-hyp"/>
    <w:p>
      <w:pPr>
        <w:pStyle w:val="Heading1"/>
      </w:pPr>
      <w:r>
        <w:t xml:space="preserve">2. The Ecological Hypotheses</w:t>
      </w:r>
    </w:p>
    <w:p>
      <w:pPr>
        <w:pStyle w:val="FirstParagraph"/>
      </w:pPr>
      <w:r>
        <w:drawing>
          <wp:inline>
            <wp:extent cx="3822191" cy="2545080"/>
            <wp:effectExtent b="0" l="0" r="0" t="0"/>
            <wp:docPr descr="" title="" id="73" name="Picture"/>
            <a:graphic>
              <a:graphicData uri="http://schemas.openxmlformats.org/drawingml/2006/picture">
                <pic:pic>
                  <pic:nvPicPr>
                    <pic:cNvPr descr="images/fig2-1.jpeg" id="74" name="Picture"/>
                    <pic:cNvPicPr>
                      <a:picLocks noChangeArrowheads="1" noChangeAspect="1"/>
                    </pic:cNvPicPr>
                  </pic:nvPicPr>
                  <pic:blipFill>
                    <a:blip r:embed="rId72"/>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0"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75"/>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05"/>
        </w:numPr>
        <w:pStyle w:val="Compact"/>
      </w:pPr>
      <w:r>
        <w:t xml:space="preserve">plant a genetically variable crop, or</w:t>
      </w:r>
    </w:p>
    <w:p>
      <w:pPr>
        <w:numPr>
          <w:ilvl w:val="0"/>
          <w:numId w:val="1005"/>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78" w:name="tbl-bh"/>
          <w:p>
            <w:pPr>
              <w:jc w:val="center"/>
            </w:pPr>
            <w:pPr>
              <w:jc w:val="start"/>
              <w:spacing w:before="200"/>
              <w:pStyle w:val="ImageCaption"/>
            </w:pPr>
            <w:r>
              <w:t xml:space="preserve">Table 2.1: Bet Hedging</w:t>
            </w:r>
          </w:p>
          <w:tbl>
            <w:tblPr>
              <w:tblStyle w:val="Table"/>
              <w:tblW w:type="pct" w:w="5000"/>
              <w:tblLook w:firstRow="1" w:lastRow="0" w:firstColumn="0" w:lastColumn="0" w:noHBand="0" w:noVBand="0" w:val="0020"/>
              <w:jc w:val="start"/>
              <w:tblLayout w:type="fixed"/>
            </w:tblPr>
            <w:tblGrid>
              <w:gridCol w:w="1485"/>
              <w:gridCol w:w="3217"/>
              <w:gridCol w:w="3217"/>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pPr>
                </w:p>
              </w:tc>
              <w:tc>
                <w:tcPr/>
                <w:p>
                  <w:pPr>
                    <w:pStyle w:val="Compact"/>
                  </w:pPr>
                </w:p>
              </w:tc>
              <w:tc>
                <w:tcPr/>
                <w:p>
                  <w:pPr>
                    <w:pStyle w:val="Compact"/>
                  </w:pPr>
                </w:p>
              </w:tc>
            </w:tr>
            <w:tr>
              <w:tc>
                <w:tcPr/>
                <w:p>
                  <w:pPr>
                    <w:pStyle w:val="Compact"/>
                    <w:jc w:val="left"/>
                    <w:jc w:val="center"/>
                  </w:pPr>
                  <w:r>
                    <w:rPr>
                      <w:bCs/>
                      <w:b/>
                    </w:rPr>
                    <w:t xml:space="preserve">Arithmetic mean</w:t>
                  </w:r>
                </w:p>
              </w:tc>
              <w:tc>
                <w:tcPr/>
                <w:p>
                  <w:pPr>
                    <w:pStyle w:val="Compact"/>
                    <w:jc w:val="left"/>
                    <w:jc w:val="center"/>
                  </w:pPr>
                  <w:r>
                    <w:rPr>
                      <w:bCs/>
                      <w:b/>
                    </w:rP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76"/>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77"/>
                  </w:r>
                </w:p>
              </w:tc>
              <w:tc>
                <w:tcPr/>
                <w:p>
                  <w:pPr>
                    <w:pStyle w:val="Compact"/>
                    <w:jc w:val="left"/>
                    <w:jc w:val="center"/>
                  </w:pPr>
                  <w:r>
                    <w:t xml:space="preserve">184</w:t>
                  </w:r>
                </w:p>
              </w:tc>
              <w:tc>
                <w:tcPr/>
                <w:p>
                  <w:pPr>
                    <w:pStyle w:val="Compact"/>
                    <w:jc w:val="left"/>
                    <w:jc w:val="center"/>
                  </w:pPr>
                  <w:r>
                    <w:rPr>
                      <w:bCs/>
                      <w:b/>
                    </w:rP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rPr>
                      <w:bCs/>
                      <w:b/>
                    </w:rPr>
                    <w:t xml:space="preserve">219</w:t>
                  </w:r>
                </w:p>
              </w:tc>
            </w:tr>
          </w:tbl>
          <w:bookmarkEnd w:id="78"/>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79"/>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0"/>
    <w:bookmarkStart w:id="88"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81"/>
      </w:r>
    </w:p>
    <w:p>
      <w:pPr>
        <w:pStyle w:val="BodyText"/>
      </w:pPr>
      <w:r>
        <w:t xml:space="preserve">A conceptually similar model was independently developed by Graham Bell: the Tangled Bank Hypothesis</w:t>
      </w:r>
      <w:r>
        <w:t xml:space="preserve"> </w:t>
      </w:r>
      <w:r>
        <w:t xml:space="preserve">(</w:t>
      </w:r>
      <w:hyperlink w:anchor="ref-bell1982a">
        <w:r>
          <w:rPr>
            <w:rStyle w:val="Hyperlink"/>
          </w:rPr>
          <w:t xml:space="preserve">1982</w:t>
        </w:r>
      </w:hyperlink>
      <w:r>
        <w:t xml:space="preserve">)</w:t>
      </w:r>
      <w:r>
        <w:t xml:space="preserve">.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82"/>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 w:name="fig-2-2"/>
          <w:p>
            <w:pPr>
              <w:pStyle w:val="Compact"/>
              <w:jc w:val="center"/>
            </w:pPr>
            <w:r>
              <w:drawing>
                <wp:inline>
                  <wp:extent cx="4642338" cy="4489428"/>
                  <wp:effectExtent b="0" l="0" r="0" t="0"/>
                  <wp:docPr descr="" title="" id="84" name="Picture"/>
                  <a:graphic>
                    <a:graphicData uri="http://schemas.openxmlformats.org/drawingml/2006/picture">
                      <pic:pic>
                        <pic:nvPicPr>
                          <pic:cNvPr descr="images/fig2-2_hr.png" id="85" name="Picture"/>
                          <pic:cNvPicPr>
                            <a:picLocks noChangeArrowheads="1" noChangeAspect="1"/>
                          </pic:cNvPicPr>
                        </pic:nvPicPr>
                        <pic:blipFill>
                          <a:blip r:embed="rId83"/>
                          <a:stretch>
                            <a:fillRect/>
                          </a:stretch>
                        </pic:blipFill>
                        <pic:spPr bwMode="auto">
                          <a:xfrm>
                            <a:off x="0" y="0"/>
                            <a:ext cx="4642338" cy="4489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blue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86"/>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87"/>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88"/>
    <w:bookmarkStart w:id="108"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89"/>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93" w:name="fig-2-3"/>
          <w:p>
            <w:pPr>
              <w:pStyle w:val="Compact"/>
              <w:jc w:val="center"/>
            </w:pPr>
            <w:r>
              <w:drawing>
                <wp:inline>
                  <wp:extent cx="4657629" cy="5767753"/>
                  <wp:effectExtent b="0" l="0" r="0" t="0"/>
                  <wp:docPr descr="" title="" id="91" name="Picture"/>
                  <a:graphic>
                    <a:graphicData uri="http://schemas.openxmlformats.org/drawingml/2006/picture">
                      <pic:pic>
                        <pic:nvPicPr>
                          <pic:cNvPr descr="images/fig2-3_hr.png" id="92" name="Picture"/>
                          <pic:cNvPicPr>
                            <a:picLocks noChangeArrowheads="1" noChangeAspect="1"/>
                          </pic:cNvPicPr>
                        </pic:nvPicPr>
                        <pic:blipFill>
                          <a:blip r:embed="rId90"/>
                          <a:stretch>
                            <a:fillRect/>
                          </a:stretch>
                        </pic:blipFill>
                        <pic:spPr bwMode="auto">
                          <a:xfrm>
                            <a:off x="0" y="0"/>
                            <a:ext cx="4657629" cy="5767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93"/>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7" w:name="fig-2-4"/>
          <w:p>
            <w:pPr>
              <w:pStyle w:val="Compact"/>
              <w:jc w:val="center"/>
            </w:pPr>
            <w:r>
              <w:drawing>
                <wp:inline>
                  <wp:extent cx="5943600" cy="3970755"/>
                  <wp:effectExtent b="0" l="0" r="0" t="0"/>
                  <wp:docPr descr="" title="" id="95" name="Picture"/>
                  <a:graphic>
                    <a:graphicData uri="http://schemas.openxmlformats.org/drawingml/2006/picture">
                      <pic:pic>
                        <pic:nvPicPr>
                          <pic:cNvPr descr="images/fig2-4_hr.png" id="96" name="Picture"/>
                          <pic:cNvPicPr>
                            <a:picLocks noChangeArrowheads="1" noChangeAspect="1"/>
                          </pic:cNvPicPr>
                        </pic:nvPicPr>
                        <pic:blipFill>
                          <a:blip r:embed="rId94"/>
                          <a:stretch>
                            <a:fillRect/>
                          </a:stretch>
                        </pic:blipFill>
                        <pic:spPr bwMode="auto">
                          <a:xfrm>
                            <a:off x="0" y="0"/>
                            <a:ext cx="5943600" cy="39707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97"/>
        </w:tc>
      </w:tr>
    </w:tbl>
    <w:bookmarkStart w:id="101"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(Carroll 1872).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98"/>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99">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 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w:t>
      </w:r>
      <w:r>
        <w:t xml:space="preserve"> </w:t>
      </w:r>
      <w:r>
        <w:t xml:space="preserve">(</w:t>
      </w:r>
      <w:hyperlink w:anchor="ref-valen1973a">
        <w:r>
          <w:rPr>
            <w:rStyle w:val="Hyperlink"/>
          </w:rPr>
          <w:t xml:space="preserve">1973</w:t>
        </w:r>
      </w:hyperlink>
      <w:r>
        <w:t xml:space="preserve">)</w:t>
      </w:r>
      <w:r>
        <w:t xml:space="preserve">. It thus seems reasonable to suggest that both antagonists must run (coevolve) as fast as they can to prevent extinction. Graham Bell repurposed the phrase to mean within-population oscillations in host and parasite genotypes</w:t>
      </w:r>
      <w:r>
        <w:t xml:space="preserve"> </w:t>
      </w:r>
      <w:r>
        <w:t xml:space="preserve">(</w:t>
      </w:r>
      <w:hyperlink w:anchor="ref-bell1982a">
        <w:r>
          <w:rPr>
            <w:rStyle w:val="Hyperlink"/>
          </w:rPr>
          <w:t xml:space="preserve">1982</w:t>
        </w:r>
      </w:hyperlink>
      <w:r>
        <w:t xml:space="preserve">)</w:t>
      </w:r>
      <w:r>
        <w:t xml:space="preserve">.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0"/>
      </w:r>
    </w:p>
    <w:bookmarkEnd w:id="101"/>
    <w:bookmarkStart w:id="107"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a">
        <w:r>
          <w:rPr>
            <w:rStyle w:val="Hyperlink"/>
          </w:rPr>
          <w:t xml:space="preserve">1975</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p>
    <w:p>
      <w:pPr>
        <w:pStyle w:val="BodyText"/>
      </w:pP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 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r>
        <w:t xml:space="preserve"> </w:t>
      </w:r>
      <w:r>
        <w:t xml:space="preserve">(</w:t>
      </w:r>
      <w:hyperlink w:anchor="ref-levin1975a">
        <w:r>
          <w:rPr>
            <w:rStyle w:val="Hyperlink"/>
          </w:rPr>
          <w:t xml:space="preserve">Levin 1975</w:t>
        </w:r>
      </w:hyperlink>
      <w:r>
        <w:t xml:space="preserve">)</w:t>
      </w:r>
      <w:r>
        <w:t xml:space="preserve">.</w:t>
      </w:r>
    </w:p>
    <w:p>
      <w:pPr>
        <w:pStyle w:val="BodyText"/>
      </w:pPr>
      <w:r>
        <w:t xml:space="preserve">Boom! By</w:t>
      </w:r>
      <w:r>
        <w:t xml:space="preserve"> </w:t>
      </w:r>
      <w:r>
        <w:t xml:space="preserve">“</w:t>
      </w:r>
      <w:r>
        <w:t xml:space="preserve">prohibit the congealing of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02"/>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03"/>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04"/>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05"/>
      </w:r>
    </w:p>
    <w:p>
      <w:pPr>
        <w:pStyle w:val="BodyText"/>
      </w:pPr>
      <w:r>
        <w:t xml:space="preserve">In any case, looking back, it seems clear that the architects of the ecological hypotheses had two interrelated things in mind:</w:t>
      </w:r>
    </w:p>
    <w:p>
      <w:pPr>
        <w:numPr>
          <w:ilvl w:val="0"/>
          <w:numId w:val="1006"/>
        </w:numPr>
        <w:pStyle w:val="Compact"/>
      </w:pPr>
      <w:r>
        <w:t xml:space="preserve">How can we explain sex/rec?</w:t>
      </w:r>
    </w:p>
    <w:p>
      <w:pPr>
        <w:numPr>
          <w:ilvl w:val="0"/>
          <w:numId w:val="1006"/>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06"/>
      </w:r>
    </w:p>
    <w:bookmarkEnd w:id="107"/>
    <w:bookmarkEnd w:id="108"/>
    <w:bookmarkStart w:id="109" w:name="summary-1"/>
    <w:p>
      <w:pPr>
        <w:pStyle w:val="Heading2"/>
      </w:pPr>
      <w:r>
        <w:t xml:space="preserve">2.4 Summary</w:t>
      </w:r>
    </w:p>
    <w:p>
      <w:pPr>
        <w:numPr>
          <w:ilvl w:val="0"/>
          <w:numId w:val="1007"/>
        </w:numPr>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07"/>
        </w:numPr>
      </w:pPr>
      <w:r>
        <w:t xml:space="preserve">The Lottery Model is based on the possible advantages of diversifying offspring facing uncertain changes in the abiotic environment. Here selection is independent of both density and frequency.</w:t>
      </w:r>
    </w:p>
    <w:p>
      <w:pPr>
        <w:numPr>
          <w:ilvl w:val="0"/>
          <w:numId w:val="1007"/>
        </w:numPr>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07"/>
        </w:numPr>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07"/>
        </w:numPr>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09"/>
    <w:bookmarkStart w:id="116"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 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w:t>
      </w:r>
      <w:hyperlink w:anchor="ref-levene1953a">
        <w:r>
          <w:rPr>
            <w:rStyle w:val="Hyperlink"/>
          </w:rPr>
          <w:t xml:space="preserve">1953</w:t>
        </w:r>
      </w:hyperlink>
      <w:r>
        <w:t xml:space="preserve">)</w:t>
      </w:r>
      <w:r>
        <w:t xml:space="preserve">. The paper is not easy to follow, eventhough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0"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0"/>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 showed that a polymorphism could be stable even if one allele is dominant, thus ruling out any kind of overdominance</w:t>
      </w:r>
      <w:r>
        <w:t xml:space="preserve"> </w:t>
      </w:r>
      <w:r>
        <w:t xml:space="preserve">(</w:t>
      </w:r>
      <w:hyperlink w:anchor="ref-prout1968a">
        <w:r>
          <w:rPr>
            <w:rStyle w:val="Hyperlink"/>
          </w:rPr>
          <w:t xml:space="preserve">1968</w:t>
        </w:r>
      </w:hyperlink>
      <w:r>
        <w:t xml:space="preserve">)</w:t>
      </w:r>
      <w:r>
        <w:t xml:space="preserv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11"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11"/>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12"/>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5943600" cy="3427981"/>
            <wp:effectExtent b="0" l="0" r="0" t="0"/>
            <wp:docPr descr="\Delta q as a function of q for Prout’s model of dominance" title="" id="114" name="Picture"/>
            <a:graphic>
              <a:graphicData uri="http://schemas.openxmlformats.org/drawingml/2006/picture">
                <pic:pic>
                  <pic:nvPicPr>
                    <pic:cNvPr descr="images/fig2-5_hr.png" id="115" name="Picture"/>
                    <pic:cNvPicPr>
                      <a:picLocks noChangeArrowheads="1" noChangeAspect="1"/>
                    </pic:cNvPicPr>
                  </pic:nvPicPr>
                  <pic:blipFill>
                    <a:blip r:embed="rId113"/>
                    <a:stretch>
                      <a:fillRect/>
                    </a:stretch>
                  </pic:blipFill>
                  <pic:spPr bwMode="auto">
                    <a:xfrm>
                      <a:off x="0" y="0"/>
                      <a:ext cx="5943600" cy="3427981"/>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16"/>
    <w:bookmarkEnd w:id="117"/>
    <w:bookmarkStart w:id="168" w:name="sec-eco-hyp-cont"/>
    <w:p>
      <w:pPr>
        <w:pStyle w:val="Heading1"/>
      </w:pPr>
      <w:r>
        <w:t xml:space="preserve">3. Contrasting the Ecological Hypotheses</w:t>
      </w:r>
    </w:p>
    <w:p>
      <w:pPr>
        <w:pStyle w:val="FirstParagraph"/>
      </w:pPr>
      <w:r>
        <w:drawing>
          <wp:inline>
            <wp:extent cx="1834895" cy="2584704"/>
            <wp:effectExtent b="0" l="0" r="0" t="0"/>
            <wp:docPr descr="" title="" id="119" name="Picture"/>
            <a:graphic>
              <a:graphicData uri="http://schemas.openxmlformats.org/drawingml/2006/picture">
                <pic:pic>
                  <pic:nvPicPr>
                    <pic:cNvPr descr="images/fig3-1.jpeg" id="120" name="Picture"/>
                    <pic:cNvPicPr>
                      <a:picLocks noChangeArrowheads="1" noChangeAspect="1"/>
                    </pic:cNvPicPr>
                  </pic:nvPicPr>
                  <pic:blipFill>
                    <a:blip r:embed="rId118"/>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21"/>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22"/>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26" w:name="fig-3-2"/>
          <w:p>
            <w:pPr>
              <w:pStyle w:val="Compact"/>
              <w:jc w:val="center"/>
            </w:pPr>
            <w:r>
              <w:drawing>
                <wp:inline>
                  <wp:extent cx="2377440" cy="3076687"/>
                  <wp:effectExtent b="0" l="0" r="0" t="0"/>
                  <wp:docPr descr="" title="" id="124" name="Picture"/>
                  <a:graphic>
                    <a:graphicData uri="http://schemas.openxmlformats.org/drawingml/2006/picture">
                      <pic:pic>
                        <pic:nvPicPr>
                          <pic:cNvPr descr="images/fig3-2.jpeg" id="125" name="Picture"/>
                          <pic:cNvPicPr>
                            <a:picLocks noChangeArrowheads="1" noChangeAspect="1"/>
                          </pic:cNvPicPr>
                        </pic:nvPicPr>
                        <pic:blipFill>
                          <a:blip r:embed="rId123"/>
                          <a:stretch>
                            <a:fillRect/>
                          </a:stretch>
                        </pic:blipFill>
                        <pic:spPr bwMode="auto">
                          <a:xfrm>
                            <a:off x="0" y="0"/>
                            <a:ext cx="2377440" cy="3076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0" w:name="fig-3-3"/>
          <w:p>
            <w:pPr>
              <w:pStyle w:val="Compact"/>
              <w:jc w:val="center"/>
            </w:pPr>
            <w:r>
              <w:drawing>
                <wp:inline>
                  <wp:extent cx="2377440" cy="2657717"/>
                  <wp:effectExtent b="0" l="0" r="0" t="0"/>
                  <wp:docPr descr="" title="" id="128" name="Picture"/>
                  <a:graphic>
                    <a:graphicData uri="http://schemas.openxmlformats.org/drawingml/2006/picture">
                      <pic:pic>
                        <pic:nvPicPr>
                          <pic:cNvPr descr="images/fig3-3.jpeg" id="129" name="Picture"/>
                          <pic:cNvPicPr>
                            <a:picLocks noChangeArrowheads="1" noChangeAspect="1"/>
                          </pic:cNvPicPr>
                        </pic:nvPicPr>
                        <pic:blipFill>
                          <a:blip r:embed="rId127"/>
                          <a:stretch>
                            <a:fillRect/>
                          </a:stretch>
                        </pic:blipFill>
                        <pic:spPr bwMode="auto">
                          <a:xfrm>
                            <a:off x="0" y="0"/>
                            <a:ext cx="2377440" cy="2657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0"/>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31"/>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32"/>
      </w:r>
      <w:r>
        <w:t xml:space="preserve"> </w:t>
      </w:r>
      <w:r>
        <w:t xml:space="preserve">To this end, I was reading Graham Bell’s incredible book on the evolution and genetics of sexual reproduction</w:t>
      </w:r>
      <w:r>
        <w:t xml:space="preserve"> </w:t>
      </w:r>
      <w:r>
        <w:t xml:space="preserve">(</w:t>
      </w:r>
      <w:hyperlink w:anchor="ref-bell1982a">
        <w:r>
          <w:rPr>
            <w:rStyle w:val="Hyperlink"/>
          </w:rPr>
          <w:t xml:space="preserve">1982</w:t>
        </w:r>
      </w:hyperlink>
      <w:r>
        <w:t xml:space="preserve">)</w:t>
      </w:r>
      <w:r>
        <w:t xml:space="preserve">. Searching the index, I found a reference to</w:t>
      </w:r>
      <w:r>
        <w:t xml:space="preserve"> </w:t>
      </w:r>
      <w:r>
        <w:rPr>
          <w:iCs/>
          <w:i/>
        </w:rPr>
        <w:t xml:space="preserve">Potamopyrgus antipodarum</w:t>
      </w:r>
      <w:r>
        <w:t xml:space="preserve">, a New Zealand freshwater snail. Bell had cited Mike Winterbourn’s dissertation work on this snail</w:t>
      </w:r>
      <w:r>
        <w:t xml:space="preserve"> </w:t>
      </w:r>
      <w:r>
        <w:t xml:space="preserve">(</w:t>
      </w:r>
      <w:hyperlink w:anchor="ref-winterbourn1970a">
        <w:r>
          <w:rPr>
            <w:rStyle w:val="Hyperlink"/>
          </w:rPr>
          <w:t xml:space="preserve">1970</w:t>
        </w:r>
      </w:hyperlink>
      <w:r>
        <w:t xml:space="preserve">)</w:t>
      </w:r>
      <w:r>
        <w:t xml:space="preserve">.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33"/>
      </w:r>
    </w:p>
    <w:bookmarkStart w:id="142"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34"/>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9" w:name="fig-3-4"/>
          <w:p>
            <w:pPr>
              <w:pStyle w:val="Compact"/>
              <w:jc w:val="center"/>
            </w:pPr>
            <w:r>
              <w:drawing>
                <wp:inline>
                  <wp:extent cx="5943600" cy="3965495"/>
                  <wp:effectExtent b="0" l="0" r="0" t="0"/>
                  <wp:docPr descr="" title="" id="136" name="Picture"/>
                  <a:graphic>
                    <a:graphicData uri="http://schemas.openxmlformats.org/drawingml/2006/picture">
                      <pic:pic>
                        <pic:nvPicPr>
                          <pic:cNvPr descr="images/fig3-4.jpeg" id="137" name="Picture"/>
                          <pic:cNvPicPr>
                            <a:picLocks noChangeArrowheads="1" noChangeAspect="1"/>
                          </pic:cNvPicPr>
                        </pic:nvPicPr>
                        <pic:blipFill>
                          <a:blip r:embed="rId135"/>
                          <a:stretch>
                            <a:fillRect/>
                          </a:stretch>
                        </pic:blipFill>
                        <pic:spPr bwMode="auto">
                          <a:xfrm>
                            <a:off x="0" y="0"/>
                            <a:ext cx="5943600" cy="39654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freshwater snail</w:t>
            </w:r>
            <w:r>
              <w:t xml:space="preserve"> </w:t>
            </w:r>
            <w:r>
              <w:rPr>
                <w:iCs/>
                <w:i/>
              </w:rPr>
              <w:t xml:space="preserve">Potamopyrgus antipodarum</w:t>
            </w:r>
            <w:r>
              <w:t xml:space="preserve">. This small (3 – 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 Photo credit: ©</w:t>
            </w:r>
            <w:r>
              <w:t xml:space="preserve"> </w:t>
            </w:r>
            <w:hyperlink r:id="rId138">
              <w:r>
                <w:rPr>
                  <w:rStyle w:val="Hyperlink"/>
                </w:rPr>
                <w:t xml:space="preserve">Bart Zijlstra</w:t>
              </w:r>
            </w:hyperlink>
            <w:r>
              <w:t xml:space="preserve">.</w:t>
            </w:r>
          </w:p>
          <w:bookmarkEnd w:id="139"/>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41"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0"/>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41"/>
    <w:bookmarkEnd w:id="142"/>
    <w:bookmarkStart w:id="161"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43"/>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 </w:t>
      </w:r>
      <w:r>
        <w:t xml:space="preserve">(</w:t>
      </w:r>
      <w:hyperlink w:anchor="ref-lively1987a">
        <w:r>
          <w:rPr>
            <w:rStyle w:val="Hyperlink"/>
          </w:rPr>
          <w:t xml:space="preserve">1987</w:t>
        </w:r>
      </w:hyperlink>
      <w:r>
        <w:t xml:space="preserve">)</w:t>
      </w:r>
      <w:r>
        <w:t xml:space="preserve">.</w:t>
      </w:r>
      <w:r>
        <w:rPr>
          <w:rStyle w:val="FootnoteReference"/>
        </w:rPr>
        <w:footnoteReference w:id="144"/>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 examined recombination in mammals</w:t>
      </w:r>
      <w:r>
        <w:t xml:space="preserve"> </w:t>
      </w:r>
      <w:r>
        <w:t xml:space="preserve">(</w:t>
      </w:r>
      <w:hyperlink w:anchor="ref-burt1987a">
        <w:r>
          <w:rPr>
            <w:rStyle w:val="Hyperlink"/>
          </w:rPr>
          <w:t xml:space="preserve">1987</w:t>
        </w:r>
      </w:hyperlink>
      <w:r>
        <w:t xml:space="preserve">)</w:t>
      </w:r>
      <w:r>
        <w:t xml:space="preserve">.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45"/>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 e.g.,</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46"/>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47"/>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48"/>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52" w:name="fig-3-5"/>
          <w:p>
            <w:pPr>
              <w:pStyle w:val="Compact"/>
              <w:jc w:val="center"/>
            </w:pPr>
            <w:r>
              <w:drawing>
                <wp:inline>
                  <wp:extent cx="5943600" cy="5878179"/>
                  <wp:effectExtent b="0" l="0" r="0" t="0"/>
                  <wp:docPr descr="" title="" id="150" name="Picture"/>
                  <a:graphic>
                    <a:graphicData uri="http://schemas.openxmlformats.org/drawingml/2006/picture">
                      <pic:pic>
                        <pic:nvPicPr>
                          <pic:cNvPr descr="images/fig3-5_hr.png" id="151" name="Picture"/>
                          <pic:cNvPicPr>
                            <a:picLocks noChangeArrowheads="1" noChangeAspect="1"/>
                          </pic:cNvPicPr>
                        </pic:nvPicPr>
                        <pic:blipFill>
                          <a:blip r:embed="rId149"/>
                          <a:stretch>
                            <a:fillRect/>
                          </a:stretch>
                        </pic:blipFill>
                        <pic:spPr bwMode="auto">
                          <a:xfrm>
                            <a:off x="0" y="0"/>
                            <a:ext cx="5943600" cy="5878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5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6" w:name="fig-3-6"/>
          <w:p>
            <w:pPr>
              <w:pStyle w:val="Compact"/>
              <w:jc w:val="center"/>
            </w:pPr>
            <w:r>
              <w:drawing>
                <wp:inline>
                  <wp:extent cx="5943600" cy="7691717"/>
                  <wp:effectExtent b="0" l="0" r="0" t="0"/>
                  <wp:docPr descr="" title="" id="154" name="Picture"/>
                  <a:graphic>
                    <a:graphicData uri="http://schemas.openxmlformats.org/drawingml/2006/picture">
                      <pic:pic>
                        <pic:nvPicPr>
                          <pic:cNvPr descr="images/fig3-6_hr.png" id="155" name="Picture"/>
                          <pic:cNvPicPr>
                            <a:picLocks noChangeArrowheads="1" noChangeAspect="1"/>
                          </pic:cNvPicPr>
                        </pic:nvPicPr>
                        <pic:blipFill>
                          <a:blip r:embed="rId153"/>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56"/>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 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w:t>
      </w:r>
      <w:r>
        <w:t xml:space="preserve"> </w:t>
      </w:r>
      <w:r>
        <w:t xml:space="preserve">(</w:t>
      </w:r>
      <w:hyperlink w:anchor="ref-lloyd1980a">
        <w:r>
          <w:rPr>
            <w:rStyle w:val="Hyperlink"/>
          </w:rPr>
          <w:t xml:space="preserve">1980</w:t>
        </w:r>
      </w:hyperlink>
      <w:r>
        <w:t xml:space="preserve">)</w:t>
      </w:r>
      <w:r>
        <w:t xml:space="preser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57"/>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58"/>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59"/>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0"/>
      </w:r>
      <w:r>
        <w:t xml:space="preserve"> </w:t>
      </w:r>
      <w:r>
        <w:t xml:space="preserve">But the results do imply that the Red Queen Hypothesis was (and still is) worthy of further study.</w:t>
      </w:r>
    </w:p>
    <w:bookmarkEnd w:id="161"/>
    <w:bookmarkStart w:id="162" w:name="summary-2"/>
    <w:p>
      <w:pPr>
        <w:pStyle w:val="Heading2"/>
      </w:pPr>
      <w:r>
        <w:t xml:space="preserve">3.3 Summary</w:t>
      </w:r>
    </w:p>
    <w:p>
      <w:pPr>
        <w:numPr>
          <w:ilvl w:val="0"/>
          <w:numId w:val="1008"/>
        </w:numPr>
      </w:pPr>
      <w:r>
        <w:t xml:space="preserve">The co-occurrence of discrete morphs is inherently interesting to evolutionary biologists. Genetic diversity is also inherently interesting.</w:t>
      </w:r>
    </w:p>
    <w:p>
      <w:pPr>
        <w:numPr>
          <w:ilvl w:val="0"/>
          <w:numId w:val="1008"/>
        </w:numPr>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08"/>
        </w:numPr>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08"/>
        </w:numPr>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62"/>
    <w:bookmarkStart w:id="167" w:name="sec-app-3"/>
    <w:p>
      <w:pPr>
        <w:pStyle w:val="Heading2"/>
      </w:pPr>
      <w:r>
        <w:t xml:space="preserve">3.4 Appendix: Game-Theoretic Model</w:t>
      </w:r>
    </w:p>
    <w:p>
      <w:pPr>
        <w:pStyle w:val="FirstParagraph"/>
      </w:pPr>
      <w:r>
        <w:t xml:space="preserve">As part of my dissertation research, I constructed a game-theoretic model of selection on three strategies:</w:t>
      </w:r>
    </w:p>
    <w:p>
      <w:pPr>
        <w:numPr>
          <w:ilvl w:val="0"/>
          <w:numId w:val="1009"/>
        </w:numPr>
      </w:pPr>
      <w:r>
        <w:t xml:space="preserve">canalized development into a high-fecundity morph,</w:t>
      </w:r>
    </w:p>
    <w:p>
      <w:pPr>
        <w:numPr>
          <w:ilvl w:val="0"/>
          <w:numId w:val="1009"/>
        </w:numPr>
      </w:pPr>
      <w:r>
        <w:t xml:space="preserve">canalized development to a low-fecundity, predation-resistant morph,</w:t>
      </w:r>
    </w:p>
    <w:p>
      <w:pPr>
        <w:numPr>
          <w:ilvl w:val="0"/>
          <w:numId w:val="1009"/>
        </w:numPr>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63"/>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65" name="Picture"/>
            <a:graphic>
              <a:graphicData uri="http://schemas.openxmlformats.org/drawingml/2006/picture">
                <pic:pic>
                  <pic:nvPicPr>
                    <pic:cNvPr descr="images/fig3-7_hr.png" id="166" name="Picture"/>
                    <pic:cNvPicPr>
                      <a:picLocks noChangeArrowheads="1" noChangeAspect="1"/>
                    </pic:cNvPicPr>
                  </pic:nvPicPr>
                  <pic:blipFill>
                    <a:blip r:embed="rId164"/>
                    <a:stretch>
                      <a:fillRect/>
                    </a:stretch>
                  </pic:blipFill>
                  <pic:spPr bwMode="auto">
                    <a:xfrm>
                      <a:off x="0" y="0"/>
                      <a:ext cx="5943600" cy="3088595"/>
                    </a:xfrm>
                    <a:prstGeom prst="rect">
                      <a:avLst/>
                    </a:prstGeom>
                    <a:noFill/>
                    <a:ln w="9525">
                      <a:noFill/>
                      <a:headEnd/>
                      <a:tailEnd/>
                    </a:ln>
                  </pic:spPr>
                </pic:pic>
              </a:graphicData>
            </a:graphic>
          </wp:inline>
        </w:drawing>
      </w:r>
    </w:p>
    <w:bookmarkEnd w:id="167"/>
    <w:bookmarkEnd w:id="168"/>
    <w:bookmarkStart w:id="202" w:name="sec-self-non"/>
    <w:p>
      <w:pPr>
        <w:pStyle w:val="Heading1"/>
      </w:pPr>
      <w:r>
        <w:t xml:space="preserve">4. Self- / Non-Self-Recognition and Local Adaptation</w:t>
      </w:r>
    </w:p>
    <w:p>
      <w:pPr>
        <w:pStyle w:val="FirstParagraph"/>
      </w:pPr>
      <w:r>
        <w:drawing>
          <wp:inline>
            <wp:extent cx="1670304" cy="1563624"/>
            <wp:effectExtent b="0" l="0" r="0" t="0"/>
            <wp:docPr descr="" title="" id="170" name="Picture"/>
            <a:graphic>
              <a:graphicData uri="http://schemas.openxmlformats.org/drawingml/2006/picture">
                <pic:pic>
                  <pic:nvPicPr>
                    <pic:cNvPr descr="images/fig4-1.jpeg" id="171" name="Picture"/>
                    <pic:cNvPicPr>
                      <a:picLocks noChangeArrowheads="1" noChangeAspect="1"/>
                    </pic:cNvPicPr>
                  </pic:nvPicPr>
                  <pic:blipFill>
                    <a:blip r:embed="rId169"/>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194"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72"/>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6" w:name="fig-4.1"/>
          <w:p>
            <w:pPr>
              <w:pStyle w:val="Compact"/>
              <w:jc w:val="center"/>
            </w:pPr>
            <w:r>
              <w:drawing>
                <wp:inline>
                  <wp:extent cx="5943600" cy="4172174"/>
                  <wp:effectExtent b="0" l="0" r="0" t="0"/>
                  <wp:docPr descr="" title="" id="174" name="Picture"/>
                  <a:graphic>
                    <a:graphicData uri="http://schemas.openxmlformats.org/drawingml/2006/picture">
                      <pic:pic>
                        <pic:nvPicPr>
                          <pic:cNvPr descr="images/fig4-2.jpeg" id="175" name="Picture"/>
                          <pic:cNvPicPr>
                            <a:picLocks noChangeArrowheads="1" noChangeAspect="1"/>
                          </pic:cNvPicPr>
                        </pic:nvPicPr>
                        <pic:blipFill>
                          <a:blip r:embed="rId173"/>
                          <a:stretch>
                            <a:fillRect/>
                          </a:stretch>
                        </pic:blipFill>
                        <pic:spPr bwMode="auto">
                          <a:xfrm>
                            <a:off x="0" y="0"/>
                            <a:ext cx="5943600" cy="417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7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0" w:name="fig-4.2"/>
          <w:p>
            <w:pPr>
              <w:pStyle w:val="Compact"/>
              <w:jc w:val="center"/>
            </w:pPr>
            <w:r>
              <w:drawing>
                <wp:inline>
                  <wp:extent cx="4096512" cy="4681728"/>
                  <wp:effectExtent b="0" l="0" r="0" t="0"/>
                  <wp:docPr descr="" title="" id="178" name="Picture"/>
                  <a:graphic>
                    <a:graphicData uri="http://schemas.openxmlformats.org/drawingml/2006/picture">
                      <pic:pic>
                        <pic:nvPicPr>
                          <pic:cNvPr descr="images/fig4-3.jpg" id="179" name="Picture"/>
                          <pic:cNvPicPr>
                            <a:picLocks noChangeArrowheads="1" noChangeAspect="1"/>
                          </pic:cNvPicPr>
                        </pic:nvPicPr>
                        <pic:blipFill>
                          <a:blip r:embed="rId177"/>
                          <a:stretch>
                            <a:fillRect/>
                          </a:stretch>
                        </pic:blipFill>
                        <pic:spPr bwMode="auto">
                          <a:xfrm>
                            <a:off x="0" y="0"/>
                            <a:ext cx="4096512" cy="4681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 (Photo Credit: Gabe Harp)</w:t>
            </w:r>
          </w:p>
          <w:bookmarkEnd w:id="180"/>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84" w:name="fig-4.3"/>
          <w:p>
            <w:pPr>
              <w:pStyle w:val="Compact"/>
              <w:jc w:val="center"/>
            </w:pPr>
            <w:r>
              <w:drawing>
                <wp:inline>
                  <wp:extent cx="5943600" cy="3556182"/>
                  <wp:effectExtent b="0" l="0" r="0" t="0"/>
                  <wp:docPr descr="" title="" id="182" name="Picture"/>
                  <a:graphic>
                    <a:graphicData uri="http://schemas.openxmlformats.org/drawingml/2006/picture">
                      <pic:pic>
                        <pic:nvPicPr>
                          <pic:cNvPr descr="images/fig4-4.png" id="183" name="Picture"/>
                          <pic:cNvPicPr>
                            <a:picLocks noChangeArrowheads="1" noChangeAspect="1"/>
                          </pic:cNvPicPr>
                        </pic:nvPicPr>
                        <pic:blipFill>
                          <a:blip r:embed="rId181"/>
                          <a:stretch>
                            <a:fillRect/>
                          </a:stretch>
                        </pic:blipFill>
                        <pic:spPr bwMode="auto">
                          <a:xfrm>
                            <a:off x="0" y="0"/>
                            <a:ext cx="5943600" cy="35561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4"/>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8" w:name="fig-4.4"/>
          <w:p>
            <w:pPr>
              <w:pStyle w:val="Compact"/>
              <w:jc w:val="center"/>
            </w:pPr>
            <w:r>
              <w:drawing>
                <wp:inline>
                  <wp:extent cx="5943600" cy="3496652"/>
                  <wp:effectExtent b="0" l="0" r="0" t="0"/>
                  <wp:docPr descr="" title="" id="186" name="Picture"/>
                  <a:graphic>
                    <a:graphicData uri="http://schemas.openxmlformats.org/drawingml/2006/picture">
                      <pic:pic>
                        <pic:nvPicPr>
                          <pic:cNvPr descr="images/fig4-5.png" id="187" name="Picture"/>
                          <pic:cNvPicPr>
                            <a:picLocks noChangeArrowheads="1" noChangeAspect="1"/>
                          </pic:cNvPicPr>
                        </pic:nvPicPr>
                        <pic:blipFill>
                          <a:blip r:embed="rId185"/>
                          <a:stretch>
                            <a:fillRect/>
                          </a:stretch>
                        </pic:blipFill>
                        <pic:spPr bwMode="auto">
                          <a:xfrm>
                            <a:off x="0" y="0"/>
                            <a:ext cx="5943600" cy="3496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88"/>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convinced me that host-parasite coevolution was interesting, whether or not it could explain sex.</w:t>
      </w:r>
      <w:r>
        <w:rPr>
          <w:rStyle w:val="FootnoteReference"/>
        </w:rPr>
        <w:footnoteReference w:id="189"/>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 on the evolution of adaptive, parasite-mediated modifications of host behavior piled on</w:t>
      </w:r>
      <w:r>
        <w:t xml:space="preserve"> </w:t>
      </w:r>
      <w:r>
        <w:t xml:space="preserve">(</w:t>
      </w:r>
      <w:hyperlink w:anchor="ref-moore1984a">
        <w:r>
          <w:rPr>
            <w:rStyle w:val="Hyperlink"/>
          </w:rPr>
          <w:t xml:space="preserve">1984</w:t>
        </w:r>
      </w:hyperlink>
      <w:r>
        <w:t xml:space="preserve">)</w:t>
      </w:r>
      <w:r>
        <w:t xml:space="preserve">. Soon, universities began to advertise for assistant professors working on host-parasite interactions. Then in 1998, Hudson et al. rocked the scientific world with a heroic field experiment, which showed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193" w:name="fig-4.5"/>
          <w:p>
            <w:pPr>
              <w:pStyle w:val="Compact"/>
              <w:jc w:val="center"/>
            </w:pPr>
            <w:r>
              <w:drawing>
                <wp:inline>
                  <wp:extent cx="5943600" cy="6033654"/>
                  <wp:effectExtent b="0" l="0" r="0" t="0"/>
                  <wp:docPr descr="" title="" id="191" name="Picture"/>
                  <a:graphic>
                    <a:graphicData uri="http://schemas.openxmlformats.org/drawingml/2006/picture">
                      <pic:pic>
                        <pic:nvPicPr>
                          <pic:cNvPr descr="images/fig4-6.png" id="192" name="Picture"/>
                          <pic:cNvPicPr>
                            <a:picLocks noChangeArrowheads="1" noChangeAspect="1"/>
                          </pic:cNvPicPr>
                        </pic:nvPicPr>
                        <pic:blipFill>
                          <a:blip r:embed="rId190"/>
                          <a:stretch>
                            <a:fillRect/>
                          </a:stretch>
                        </pic:blipFill>
                        <pic:spPr bwMode="auto">
                          <a:xfrm>
                            <a:off x="0" y="0"/>
                            <a:ext cx="5943600" cy="6033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193"/>
        </w:tc>
      </w:tr>
    </w:tbl>
    <w:bookmarkEnd w:id="194"/>
    <w:bookmarkStart w:id="200"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195"/>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199" w:name="fig-4.6"/>
          <w:p>
            <w:pPr>
              <w:pStyle w:val="Compact"/>
              <w:jc w:val="center"/>
            </w:pPr>
            <w:r>
              <w:drawing>
                <wp:inline>
                  <wp:extent cx="5943600" cy="6202935"/>
                  <wp:effectExtent b="0" l="0" r="0" t="0"/>
                  <wp:docPr descr="" title="" id="197" name="Picture"/>
                  <a:graphic>
                    <a:graphicData uri="http://schemas.openxmlformats.org/drawingml/2006/picture">
                      <pic:pic>
                        <pic:nvPicPr>
                          <pic:cNvPr descr="images/fig4-7.jpeg" id="198" name="Picture"/>
                          <pic:cNvPicPr>
                            <a:picLocks noChangeArrowheads="1" noChangeAspect="1"/>
                          </pic:cNvPicPr>
                        </pic:nvPicPr>
                        <pic:blipFill>
                          <a:blip r:embed="rId196"/>
                          <a:stretch>
                            <a:fillRect/>
                          </a:stretch>
                        </pic:blipFill>
                        <pic:spPr bwMode="auto">
                          <a:xfrm>
                            <a:off x="0" y="0"/>
                            <a:ext cx="5943600" cy="620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199"/>
        </w:tc>
      </w:tr>
    </w:tbl>
    <w:bookmarkEnd w:id="200"/>
    <w:bookmarkStart w:id="201" w:name="summary-3"/>
    <w:p>
      <w:pPr>
        <w:pStyle w:val="Heading2"/>
      </w:pPr>
      <w:r>
        <w:t xml:space="preserve">4.3 Summary</w:t>
      </w:r>
    </w:p>
    <w:p>
      <w:pPr>
        <w:numPr>
          <w:ilvl w:val="0"/>
          <w:numId w:val="1010"/>
        </w:numPr>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10"/>
        </w:numPr>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10"/>
        </w:numPr>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01"/>
    <w:bookmarkEnd w:id="202"/>
    <w:bookmarkStart w:id="222" w:name="sec-gyno"/>
    <w:p>
      <w:pPr>
        <w:pStyle w:val="Heading1"/>
      </w:pPr>
      <w:r>
        <w:t xml:space="preserve">5. Gynogenetic Fish</w:t>
      </w:r>
    </w:p>
    <w:p>
      <w:pPr>
        <w:pStyle w:val="FirstParagraph"/>
      </w:pPr>
      <w:r>
        <w:drawing>
          <wp:inline>
            <wp:extent cx="4105655" cy="1475232"/>
            <wp:effectExtent b="0" l="0" r="0" t="0"/>
            <wp:docPr descr="" title="" id="204" name="Picture"/>
            <a:graphic>
              <a:graphicData uri="http://schemas.openxmlformats.org/drawingml/2006/picture">
                <pic:pic>
                  <pic:nvPicPr>
                    <pic:cNvPr descr="images/fig5-1.jpeg" id="205" name="Picture"/>
                    <pic:cNvPicPr>
                      <a:picLocks noChangeArrowheads="1" noChangeAspect="1"/>
                    </pic:cNvPicPr>
                  </pic:nvPicPr>
                  <pic:blipFill>
                    <a:blip r:embed="rId203"/>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06"/>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07"/>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 (Lively et al. 1990).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11" w:name="fig-5-1"/>
          <w:p>
            <w:pPr>
              <w:pStyle w:val="Compact"/>
              <w:jc w:val="center"/>
            </w:pPr>
            <w:r>
              <w:drawing>
                <wp:inline>
                  <wp:extent cx="5943600" cy="7691717"/>
                  <wp:effectExtent b="0" l="0" r="0" t="0"/>
                  <wp:docPr descr="" title="" id="209" name="Picture"/>
                  <a:graphic>
                    <a:graphicData uri="http://schemas.openxmlformats.org/drawingml/2006/picture">
                      <pic:pic>
                        <pic:nvPicPr>
                          <pic:cNvPr descr="images/fig5-2.png"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1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5" w:name="fig-5-2"/>
          <w:p>
            <w:pPr>
              <w:pStyle w:val="Compact"/>
              <w:jc w:val="center"/>
            </w:pPr>
            <w:r>
              <w:drawing>
                <wp:inline>
                  <wp:extent cx="5943600" cy="6075413"/>
                  <wp:effectExtent b="0" l="0" r="0" t="0"/>
                  <wp:docPr descr="" title="" id="213" name="Picture"/>
                  <a:graphic>
                    <a:graphicData uri="http://schemas.openxmlformats.org/drawingml/2006/picture">
                      <pic:pic>
                        <pic:nvPicPr>
                          <pic:cNvPr descr="images/fig5-3.png" id="214" name="Picture"/>
                          <pic:cNvPicPr>
                            <a:picLocks noChangeArrowheads="1" noChangeAspect="1"/>
                          </pic:cNvPicPr>
                        </pic:nvPicPr>
                        <pic:blipFill>
                          <a:blip r:embed="rId212"/>
                          <a:stretch>
                            <a:fillRect/>
                          </a:stretch>
                        </pic:blipFill>
                        <pic:spPr bwMode="auto">
                          <a:xfrm>
                            <a:off x="0" y="0"/>
                            <a:ext cx="5943600" cy="6075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15"/>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16"/>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0" w:name="fig-5-3"/>
          <w:p>
            <w:pPr>
              <w:pStyle w:val="Compact"/>
              <w:jc w:val="center"/>
            </w:pPr>
            <w:r>
              <w:drawing>
                <wp:inline>
                  <wp:extent cx="5943600" cy="7691717"/>
                  <wp:effectExtent b="0" l="0" r="0" t="0"/>
                  <wp:docPr descr="" title="" id="218" name="Picture"/>
                  <a:graphic>
                    <a:graphicData uri="http://schemas.openxmlformats.org/drawingml/2006/picture">
                      <pic:pic>
                        <pic:nvPicPr>
                          <pic:cNvPr descr="images/fig5-4.png" id="219" name="Picture"/>
                          <pic:cNvPicPr>
                            <a:picLocks noChangeArrowheads="1" noChangeAspect="1"/>
                          </pic:cNvPicPr>
                        </pic:nvPicPr>
                        <pic:blipFill>
                          <a:blip r:embed="rId21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0"/>
        </w:tc>
      </w:tr>
    </w:tbl>
    <w:bookmarkStart w:id="221"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(psuedogamous)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21"/>
    <w:bookmarkEnd w:id="222"/>
    <w:bookmarkStart w:id="262" w:name="sec-chap6"/>
    <w:p>
      <w:pPr>
        <w:pStyle w:val="Heading1"/>
      </w:pPr>
      <w:r>
        <w:t xml:space="preserve">6. The Ratchet and the Red Queen</w:t>
      </w:r>
    </w:p>
    <w:p>
      <w:pPr>
        <w:pStyle w:val="FirstParagraph"/>
      </w:pPr>
      <w:r>
        <w:drawing>
          <wp:inline>
            <wp:extent cx="2054352" cy="2761488"/>
            <wp:effectExtent b="0" l="0" r="0" t="0"/>
            <wp:docPr descr="" title="" id="224" name="Picture"/>
            <a:graphic>
              <a:graphicData uri="http://schemas.openxmlformats.org/drawingml/2006/picture">
                <pic:pic>
                  <pic:nvPicPr>
                    <pic:cNvPr descr="images/fig6-1.jpeg" id="225" name="Picture"/>
                    <pic:cNvPicPr>
                      <a:picLocks noChangeArrowheads="1" noChangeAspect="1"/>
                    </pic:cNvPicPr>
                  </pic:nvPicPr>
                  <pic:blipFill>
                    <a:blip r:embed="rId223"/>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28"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26"/>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27"/>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28"/>
    <w:bookmarkStart w:id="230"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 wrote a bomb sentence</w:t>
      </w:r>
      <w:r>
        <w:t xml:space="preserve"> </w:t>
      </w:r>
      <w:r>
        <w:t xml:space="preserve">(</w:t>
      </w:r>
      <w:hyperlink w:anchor="ref-muller1964a">
        <w:r>
          <w:rPr>
            <w:rStyle w:val="Hyperlink"/>
          </w:rPr>
          <w:t xml:space="preserve">1964</w:t>
        </w:r>
      </w:hyperlink>
      <w:r>
        <w:t xml:space="preserve">)</w:t>
      </w:r>
      <w:r>
        <w:t xml:space="preserv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 named the idea</w:t>
      </w:r>
      <w:r>
        <w:t xml:space="preserve"> </w:t>
      </w:r>
      <w:r>
        <w:t xml:space="preserve">“</w:t>
      </w:r>
      <w:r>
        <w:t xml:space="preserve">Muller’s ratchet</w:t>
      </w:r>
      <w:r>
        <w:t xml:space="preserve">”</w:t>
      </w:r>
      <w:r>
        <w:t xml:space="preserve"> </w:t>
      </w:r>
      <w:r>
        <w:t xml:space="preserve">(</w:t>
      </w:r>
      <w:hyperlink w:anchor="ref-felsenstein1974a">
        <w:r>
          <w:rPr>
            <w:rStyle w:val="Hyperlink"/>
          </w:rPr>
          <w:t xml:space="preserve">1974</w:t>
        </w:r>
      </w:hyperlink>
      <w:r>
        <w:t xml:space="preserve">)</w:t>
      </w:r>
      <w:r>
        <w:t xml:space="preserve">, and he pointed to the probable importance of the ratchet in population genetics.</w:t>
      </w:r>
      <w:r>
        <w:rPr>
          <w:rStyle w:val="FootnoteReference"/>
        </w:rPr>
        <w:footnoteReference w:id="229"/>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0"/>
    <w:bookmarkStart w:id="259"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34" w:name="fig-6-1"/>
          <w:p>
            <w:pPr>
              <w:pStyle w:val="Compact"/>
              <w:jc w:val="center"/>
            </w:pPr>
            <w:r>
              <w:drawing>
                <wp:inline>
                  <wp:extent cx="5943600" cy="3699491"/>
                  <wp:effectExtent b="0" l="0" r="0" t="0"/>
                  <wp:docPr descr="" title="" id="232" name="Picture"/>
                  <a:graphic>
                    <a:graphicData uri="http://schemas.openxmlformats.org/drawingml/2006/picture">
                      <pic:pic>
                        <pic:nvPicPr>
                          <pic:cNvPr descr="images/fig6-2.png" id="233" name="Picture"/>
                          <pic:cNvPicPr>
                            <a:picLocks noChangeArrowheads="1" noChangeAspect="1"/>
                          </pic:cNvPicPr>
                        </pic:nvPicPr>
                        <pic:blipFill>
                          <a:blip r:embed="rId231"/>
                          <a:stretch>
                            <a:fillRect/>
                          </a:stretch>
                        </pic:blipFill>
                        <pic:spPr bwMode="auto">
                          <a:xfrm>
                            <a:off x="0" y="0"/>
                            <a:ext cx="5943600" cy="3699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3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8" w:name="fig-6-2"/>
          <w:p>
            <w:pPr>
              <w:pStyle w:val="Compact"/>
              <w:jc w:val="center"/>
            </w:pPr>
            <w:r>
              <w:drawing>
                <wp:inline>
                  <wp:extent cx="5943600" cy="3663798"/>
                  <wp:effectExtent b="0" l="0" r="0" t="0"/>
                  <wp:docPr descr="" title="" id="236" name="Picture"/>
                  <a:graphic>
                    <a:graphicData uri="http://schemas.openxmlformats.org/drawingml/2006/picture">
                      <pic:pic>
                        <pic:nvPicPr>
                          <pic:cNvPr descr="images/fig6-3.png" id="237" name="Picture"/>
                          <pic:cNvPicPr>
                            <a:picLocks noChangeArrowheads="1" noChangeAspect="1"/>
                          </pic:cNvPicPr>
                        </pic:nvPicPr>
                        <pic:blipFill>
                          <a:blip r:embed="rId235"/>
                          <a:stretch>
                            <a:fillRect/>
                          </a:stretch>
                        </pic:blipFill>
                        <pic:spPr bwMode="auto">
                          <a:xfrm>
                            <a:off x="0" y="0"/>
                            <a:ext cx="5943600" cy="3663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38"/>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39"/>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3" w:name="fig-6-3"/>
          <w:p>
            <w:pPr>
              <w:pStyle w:val="Compact"/>
              <w:jc w:val="center"/>
            </w:pPr>
            <w:r>
              <w:drawing>
                <wp:inline>
                  <wp:extent cx="5943600" cy="7691717"/>
                  <wp:effectExtent b="0" l="0" r="0" t="0"/>
                  <wp:docPr descr="" title="" id="241" name="Picture"/>
                  <a:graphic>
                    <a:graphicData uri="http://schemas.openxmlformats.org/drawingml/2006/picture">
                      <pic:pic>
                        <pic:nvPicPr>
                          <pic:cNvPr descr="images/fig6-4.pn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3"/>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44"/>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48" w:name="fig-6-4"/>
          <w:p>
            <w:pPr>
              <w:pStyle w:val="Compact"/>
              <w:jc w:val="center"/>
            </w:pPr>
            <w:r>
              <w:drawing>
                <wp:inline>
                  <wp:extent cx="5943600" cy="5761121"/>
                  <wp:effectExtent b="0" l="0" r="0" t="0"/>
                  <wp:docPr descr="" title="" id="246" name="Picture"/>
                  <a:graphic>
                    <a:graphicData uri="http://schemas.openxmlformats.org/drawingml/2006/picture">
                      <pic:pic>
                        <pic:nvPicPr>
                          <pic:cNvPr descr="images/fig6-5.png" id="247" name="Picture"/>
                          <pic:cNvPicPr>
                            <a:picLocks noChangeArrowheads="1" noChangeAspect="1"/>
                          </pic:cNvPicPr>
                        </pic:nvPicPr>
                        <pic:blipFill>
                          <a:blip r:embed="rId245"/>
                          <a:stretch>
                            <a:fillRect/>
                          </a:stretch>
                        </pic:blipFill>
                        <pic:spPr bwMode="auto">
                          <a:xfrm>
                            <a:off x="0" y="0"/>
                            <a:ext cx="5943600" cy="57611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48"/>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49"/>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0"/>
      </w:r>
    </w:p>
    <w:tbl>
      <w:tblPr>
        <w:tblStyle w:val="Table"/>
        <w:tblW w:type="pct" w:w="5000"/>
        <w:tblLook w:firstRow="0" w:lastRow="0" w:firstColumn="0" w:lastColumn="0" w:noHBand="0" w:noVBand="0" w:val="0000"/>
        <w:jc w:val="start"/>
        <w:tblLayout w:type="fixed"/>
      </w:tblPr>
      <w:tblGrid>
        <w:gridCol w:w="7920"/>
      </w:tblGrid>
      <w:tr>
        <w:tc>
          <w:tcPr/>
          <w:bookmarkStart w:id="254" w:name="fig-6-5"/>
          <w:p>
            <w:pPr>
              <w:pStyle w:val="Compact"/>
              <w:jc w:val="center"/>
            </w:pPr>
            <w:r>
              <w:drawing>
                <wp:inline>
                  <wp:extent cx="5943600" cy="5844853"/>
                  <wp:effectExtent b="0" l="0" r="0" t="0"/>
                  <wp:docPr descr="" title="" id="252" name="Picture"/>
                  <a:graphic>
                    <a:graphicData uri="http://schemas.openxmlformats.org/drawingml/2006/picture">
                      <pic:pic>
                        <pic:nvPicPr>
                          <pic:cNvPr descr="images/fig6-6.png" id="253" name="Picture"/>
                          <pic:cNvPicPr>
                            <a:picLocks noChangeArrowheads="1" noChangeAspect="1"/>
                          </pic:cNvPicPr>
                        </pic:nvPicPr>
                        <pic:blipFill>
                          <a:blip r:embed="rId251"/>
                          <a:stretch>
                            <a:fillRect/>
                          </a:stretch>
                        </pic:blipFill>
                        <pic:spPr bwMode="auto">
                          <a:xfrm>
                            <a:off x="0" y="0"/>
                            <a:ext cx="5943600" cy="58448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4"/>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55"/>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56">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 original</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58"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57"/>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58"/>
    <w:bookmarkEnd w:id="259"/>
    <w:bookmarkStart w:id="260" w:name="summary-4"/>
    <w:p>
      <w:pPr>
        <w:pStyle w:val="Heading2"/>
      </w:pPr>
      <w:r>
        <w:t xml:space="preserve">6.4 Summary</w:t>
      </w:r>
    </w:p>
    <w:p>
      <w:pPr>
        <w:numPr>
          <w:ilvl w:val="0"/>
          <w:numId w:val="1011"/>
        </w:numPr>
      </w:pPr>
      <w:r>
        <w:t xml:space="preserve">The Red Queen Hypothesis is a potentially general way of explaining why clonal lineages don’t rapidly replace sexual competitors in the short term.</w:t>
      </w:r>
    </w:p>
    <w:p>
      <w:pPr>
        <w:numPr>
          <w:ilvl w:val="0"/>
          <w:numId w:val="1011"/>
        </w:numPr>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11"/>
        </w:numPr>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11"/>
        </w:numPr>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0"/>
    <w:bookmarkStart w:id="261"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 constructed the first model to deeply explore the ratchet</w:t>
      </w:r>
      <w:r>
        <w:t xml:space="preserve"> </w:t>
      </w:r>
      <w:r>
        <w:t xml:space="preserve">(</w:t>
      </w:r>
      <w:hyperlink w:anchor="ref-haigh1978a">
        <w:r>
          <w:rPr>
            <w:rStyle w:val="Hyperlink"/>
          </w:rPr>
          <w:t xml:space="preserve">1978</w:t>
        </w:r>
      </w:hyperlink>
      <w:r>
        <w:t xml:space="preserve">)</w:t>
      </w:r>
      <w:r>
        <w:t xml:space="preserve">.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61"/>
    <w:bookmarkEnd w:id="262"/>
    <w:bookmarkStart w:id="270" w:name="overview-and-future-directions"/>
    <w:p>
      <w:pPr>
        <w:pStyle w:val="Heading1"/>
      </w:pPr>
      <w:r>
        <w:t xml:space="preserve">7. Overview and Future Directions</w:t>
      </w:r>
    </w:p>
    <w:p>
      <w:pPr>
        <w:pStyle w:val="FirstParagraph"/>
      </w:pPr>
      <w:r>
        <w:drawing>
          <wp:inline>
            <wp:extent cx="2971800" cy="3667636"/>
            <wp:effectExtent b="0" l="0" r="0" t="0"/>
            <wp:docPr descr="" title="" id="264" name="Picture"/>
            <a:graphic>
              <a:graphicData uri="http://schemas.openxmlformats.org/drawingml/2006/picture">
                <pic:pic>
                  <pic:nvPicPr>
                    <pic:cNvPr descr="images/fig7-1.png" id="265" name="Picture"/>
                    <pic:cNvPicPr>
                      <a:picLocks noChangeArrowheads="1" noChangeAspect="1"/>
                    </pic:cNvPicPr>
                  </pic:nvPicPr>
                  <pic:blipFill>
                    <a:blip r:embed="rId263"/>
                    <a:stretch>
                      <a:fillRect/>
                    </a:stretch>
                  </pic:blipFill>
                  <pic:spPr bwMode="auto">
                    <a:xfrm>
                      <a:off x="0" y="0"/>
                      <a:ext cx="2971800" cy="3667636"/>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67"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66"/>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67"/>
    <w:bookmarkStart w:id="268"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12"/>
        </w:numPr>
        <w:pStyle w:val="Compact"/>
      </w:pPr>
      <w:r>
        <w:t xml:space="preserve">Where do the snail clones come from? Are they locally derived, or are a few clones distributed across New Zealand?</w:t>
      </w:r>
      <w:r>
        <w:br/>
      </w:r>
    </w:p>
    <w:p>
      <w:pPr>
        <w:numPr>
          <w:ilvl w:val="0"/>
          <w:numId w:val="1012"/>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12"/>
        </w:numPr>
        <w:pStyle w:val="Compact"/>
      </w:pPr>
      <w:r>
        <w:t xml:space="preserve">How genetically diverse are the clones within and among snail populations?</w:t>
      </w:r>
      <w:r>
        <w:br/>
      </w:r>
    </w:p>
    <w:p>
      <w:pPr>
        <w:numPr>
          <w:ilvl w:val="0"/>
          <w:numId w:val="1012"/>
        </w:numPr>
        <w:pStyle w:val="Compact"/>
      </w:pPr>
      <w:r>
        <w:t xml:space="preserve">What is the distribution of clones across habitats in the same lake?</w:t>
      </w:r>
      <w:r>
        <w:br/>
      </w:r>
    </w:p>
    <w:p>
      <w:pPr>
        <w:numPr>
          <w:ilvl w:val="0"/>
          <w:numId w:val="1012"/>
        </w:numPr>
        <w:pStyle w:val="Compact"/>
      </w:pPr>
      <w:r>
        <w:t xml:space="preserve">Do clonal and sexual females have the same fecundities?</w:t>
      </w:r>
      <w:r>
        <w:br/>
      </w:r>
    </w:p>
    <w:p>
      <w:pPr>
        <w:numPr>
          <w:ilvl w:val="0"/>
          <w:numId w:val="1012"/>
        </w:numPr>
        <w:pStyle w:val="Compact"/>
      </w:pPr>
      <w:r>
        <w:t xml:space="preserve">Would a clone double in frequency when rare?</w:t>
      </w:r>
      <w:r>
        <w:br/>
      </w:r>
    </w:p>
    <w:p>
      <w:pPr>
        <w:numPr>
          <w:ilvl w:val="0"/>
          <w:numId w:val="1012"/>
        </w:numPr>
        <w:pStyle w:val="Compact"/>
      </w:pPr>
      <w:r>
        <w:t xml:space="preserve">What is the scale of parasite local adaption? Could it occur within lakes?</w:t>
      </w:r>
    </w:p>
    <w:bookmarkEnd w:id="268"/>
    <w:bookmarkStart w:id="269"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13"/>
        </w:numPr>
        <w:pStyle w:val="Compact"/>
      </w:pPr>
      <w:r>
        <w:t xml:space="preserve">Do you think that asexual populations would have higher carrying capacities than sexual populations? If so, then under what conditions? If not, then why not?</w:t>
      </w:r>
    </w:p>
    <w:p>
      <w:pPr>
        <w:numPr>
          <w:ilvl w:val="0"/>
          <w:numId w:val="1013"/>
        </w:numPr>
        <w:pStyle w:val="Compact"/>
      </w:pPr>
      <w:r>
        <w:t xml:space="preserve">Read Darwin’s original paper on cross fertilization in</w:t>
      </w:r>
      <w:r>
        <w:t xml:space="preserve"> </w:t>
      </w:r>
      <w:r>
        <w:rPr>
          <w:iCs/>
          <w:i/>
        </w:rPr>
        <w:t xml:space="preserve">Primula</w:t>
      </w:r>
      <w:r>
        <w:t xml:space="preserve"> </w:t>
      </w:r>
      <w:r>
        <w:t xml:space="preserve">(</w:t>
      </w:r>
      <w:hyperlink w:anchor="ref-darwin1862a">
        <w:r>
          <w:rPr>
            <w:rStyle w:val="Hyperlink"/>
          </w:rPr>
          <w:t xml:space="preserve">1862</w:t>
        </w:r>
      </w:hyperlink>
      <w:r>
        <w:t xml:space="preserve">)</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r>
        <w:br/>
      </w:r>
    </w:p>
    <w:p>
      <w:pPr>
        <w:numPr>
          <w:ilvl w:val="0"/>
          <w:numId w:val="1013"/>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13"/>
        </w:numPr>
        <w:pStyle w:val="Compact"/>
      </w:pPr>
      <w:r>
        <w:t xml:space="preserve">I suggested that the correlation between sex and infection would be expected to be messy, if observed at all. Is that true? If so, then what factors would contribute the variance among values?</w:t>
      </w:r>
      <w:r>
        <w:br/>
      </w:r>
    </w:p>
    <w:p>
      <w:pPr>
        <w:numPr>
          <w:ilvl w:val="0"/>
          <w:numId w:val="1013"/>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13"/>
        </w:numPr>
        <w:pStyle w:val="Compact"/>
      </w:pPr>
      <w:r>
        <w:t xml:space="preserve">Under what general conditions would host-parasite coevolution lead to oscillatory genetical dynamics in both the host and the parasite?</w:t>
      </w:r>
    </w:p>
    <w:bookmarkEnd w:id="269"/>
    <w:bookmarkEnd w:id="270"/>
    <w:bookmarkStart w:id="271" w:name="sec-glossary"/>
    <w:p>
      <w:pPr>
        <w:pStyle w:val="Heading1"/>
      </w:pPr>
      <w:r>
        <w:t xml:space="preserve">Glossary</w:t>
      </w:r>
    </w:p>
    <w:p>
      <w:pPr>
        <w:pStyle w:val="FirstParagraph"/>
      </w:pPr>
      <w:r>
        <w:rPr>
          <w:bCs/>
          <w:b/>
        </w:rPr>
        <w:t xml:space="preserve">Short definitions of terms as used in this book. These definitions do not include all possible nuances.</w:t>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71"/>
    <w:bookmarkStart w:id="447" w:name="references"/>
    <w:p>
      <w:pPr>
        <w:pStyle w:val="Heading1"/>
      </w:pPr>
      <w:r>
        <w:t xml:space="preserve">References</w:t>
      </w:r>
    </w:p>
    <w:bookmarkStart w:id="446" w:name="refs"/>
    <w:bookmarkStart w:id="272"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72"/>
    <w:bookmarkStart w:id="273"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73"/>
    <w:bookmarkStart w:id="274"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74"/>
    <w:bookmarkStart w:id="275"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75"/>
    <w:bookmarkStart w:id="276" w:name="ref-bayley2010a"/>
    <w:p>
      <w:pPr>
        <w:pStyle w:val="Bibliography"/>
      </w:pPr>
      <w:r>
        <w:t xml:space="preserve">Bayley, M. (2010). Algebra in wonderland.</w:t>
      </w:r>
      <w:r>
        <w:t xml:space="preserve"> </w:t>
      </w:r>
      <w:r>
        <w:rPr>
          <w:iCs/>
          <w:i/>
        </w:rPr>
        <w:t xml:space="preserve">New York Times</w:t>
      </w:r>
      <w:r>
        <w:t xml:space="preserve">.</w:t>
      </w:r>
    </w:p>
    <w:bookmarkEnd w:id="276"/>
    <w:bookmarkStart w:id="277"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77"/>
    <w:bookmarkStart w:id="279" w:name="ref-bell2006a"/>
    <w:p>
      <w:pPr>
        <w:pStyle w:val="Bibliography"/>
      </w:pPr>
      <w:r>
        <w:t xml:space="preserve">Bell, T., Freckleton, R.P. &amp; Lewis, O.T. (2006).</w:t>
      </w:r>
      <w:r>
        <w:t xml:space="preserve"> </w:t>
      </w:r>
      <w:hyperlink r:id="rId278">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79"/>
    <w:bookmarkStart w:id="281" w:name="ref-bento2017a"/>
    <w:p>
      <w:pPr>
        <w:pStyle w:val="Bibliography"/>
      </w:pPr>
      <w:r>
        <w:t xml:space="preserve">Bento, G., Routtu, J., Fields, P.D., Bourgeois, Y., Pasquier, L. &amp; Ebert, D. (2017).</w:t>
      </w:r>
      <w:r>
        <w:t xml:space="preserve"> </w:t>
      </w:r>
      <w:hyperlink r:id="rId280">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81"/>
    <w:bookmarkStart w:id="283" w:name="ref-blasco-costa2019a"/>
    <w:p>
      <w:pPr>
        <w:pStyle w:val="Bibliography"/>
      </w:pPr>
      <w:r>
        <w:t xml:space="preserve">Blasco-Costa, I., Seppälä, K., Feijen, F., Zajac, N., Klappert, K. &amp; Jokela, J. (2019).</w:t>
      </w:r>
      <w:r>
        <w:t xml:space="preserve"> </w:t>
      </w:r>
      <w:hyperlink r:id="rId282">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83"/>
    <w:bookmarkStart w:id="284"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84"/>
    <w:bookmarkStart w:id="285"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85"/>
    <w:bookmarkStart w:id="286"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86"/>
    <w:bookmarkStart w:id="28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87"/>
    <w:bookmarkStart w:id="28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88"/>
    <w:bookmarkStart w:id="28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89"/>
    <w:bookmarkStart w:id="29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290"/>
    <w:bookmarkStart w:id="29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291"/>
    <w:bookmarkStart w:id="293" w:name="ref-dagg2016a"/>
    <w:p>
      <w:pPr>
        <w:pStyle w:val="Bibliography"/>
      </w:pPr>
      <w:r>
        <w:t xml:space="preserve">Dagg, J. (2016).</w:t>
      </w:r>
      <w:r>
        <w:t xml:space="preserve"> </w:t>
      </w:r>
      <w:hyperlink r:id="rId29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293"/>
    <w:bookmarkStart w:id="29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294"/>
    <w:bookmarkStart w:id="29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295"/>
    <w:bookmarkStart w:id="297" w:name="ref-darwin1862a"/>
    <w:p>
      <w:pPr>
        <w:pStyle w:val="Bibliography"/>
      </w:pPr>
      <w:r>
        <w:t xml:space="preserve">Darwin, C. (1862).</w:t>
      </w:r>
      <w:r>
        <w:t xml:space="preserve"> </w:t>
      </w:r>
      <w:hyperlink r:id="rId29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297"/>
    <w:bookmarkStart w:id="29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298"/>
    <w:bookmarkStart w:id="300" w:name="ref-darwin1860a"/>
    <w:p>
      <w:pPr>
        <w:pStyle w:val="Bibliography"/>
      </w:pPr>
      <w:r>
        <w:t xml:space="preserve">Darwin, C. (n.d.).</w:t>
      </w:r>
      <w:r>
        <w:t xml:space="preserve"> </w:t>
      </w:r>
      <w:hyperlink r:id="rId299">
        <w:r>
          <w:rPr>
            <w:rStyle w:val="Hyperlink"/>
          </w:rPr>
          <w:t xml:space="preserve">Letter no. 2869</w:t>
        </w:r>
      </w:hyperlink>
      <w:r>
        <w:t xml:space="preserve">. Darwin Correspondence Project.</w:t>
      </w:r>
    </w:p>
    <w:bookmarkEnd w:id="300"/>
    <w:bookmarkStart w:id="302" w:name="ref-dexter2023a"/>
    <w:p>
      <w:pPr>
        <w:pStyle w:val="Bibliography"/>
      </w:pPr>
      <w:r>
        <w:t xml:space="preserve">Dexter, E., Fields, P.D. &amp; Ebert, D. (2023).</w:t>
      </w:r>
      <w:r>
        <w:t xml:space="preserve"> </w:t>
      </w:r>
      <w:hyperlink r:id="rId30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02"/>
    <w:bookmarkStart w:id="30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03"/>
    <w:bookmarkStart w:id="30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04"/>
    <w:bookmarkStart w:id="30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05"/>
    <w:bookmarkStart w:id="30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06"/>
    <w:bookmarkStart w:id="30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07"/>
    <w:bookmarkStart w:id="30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08"/>
    <w:bookmarkStart w:id="310" w:name="ref-gaino1999a"/>
    <w:p>
      <w:pPr>
        <w:pStyle w:val="Bibliography"/>
      </w:pPr>
      <w:r>
        <w:t xml:space="preserve">Gaino, E., Bavestrello, G. &amp; Magnino, G. (1999).</w:t>
      </w:r>
      <w:r>
        <w:t xml:space="preserve"> </w:t>
      </w:r>
      <w:hyperlink r:id="rId30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10"/>
    <w:bookmarkStart w:id="312" w:name="ref-galvani2003a"/>
    <w:p>
      <w:pPr>
        <w:pStyle w:val="Bibliography"/>
      </w:pPr>
      <w:r>
        <w:t xml:space="preserve">Galvani, A.P., Coleman, R.M. &amp; Ferguson, N.M. (2003).</w:t>
      </w:r>
      <w:r>
        <w:t xml:space="preserve"> </w:t>
      </w:r>
      <w:hyperlink r:id="rId31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12"/>
    <w:bookmarkStart w:id="31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13"/>
    <w:bookmarkStart w:id="31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14"/>
    <w:bookmarkStart w:id="31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15"/>
    <w:bookmarkStart w:id="31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16"/>
    <w:bookmarkStart w:id="31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17"/>
    <w:bookmarkStart w:id="31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18"/>
    <w:bookmarkStart w:id="319" w:name="ref-gould1991a"/>
    <w:p>
      <w:pPr>
        <w:pStyle w:val="Bibliography"/>
      </w:pPr>
      <w:r>
        <w:t xml:space="preserve">Gould, S.J. (1991). The smoking gun of eugenics.</w:t>
      </w:r>
      <w:r>
        <w:t xml:space="preserve"> </w:t>
      </w:r>
      <w:r>
        <w:rPr>
          <w:iCs/>
          <w:i/>
        </w:rPr>
        <w:t xml:space="preserve">Natural History</w:t>
      </w:r>
      <w:r>
        <w:t xml:space="preserve">, 100, 8–17.</w:t>
      </w:r>
    </w:p>
    <w:bookmarkEnd w:id="319"/>
    <w:bookmarkStart w:id="32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20"/>
    <w:bookmarkStart w:id="321" w:name="ref-hamilton1975a"/>
    <w:p>
      <w:pPr>
        <w:pStyle w:val="Bibliography"/>
      </w:pPr>
      <w:r>
        <w:t xml:space="preserve">Hamilton, W.D. (1975).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21"/>
    <w:bookmarkStart w:id="322" w:name="ref-hamilton1980a"/>
    <w:p>
      <w:pPr>
        <w:pStyle w:val="Bibliography"/>
      </w:pPr>
      <w:r>
        <w:t xml:space="preserve">Hamilton, W.D. (1980). Sex versus non-sex versus parasite.</w:t>
      </w:r>
      <w:r>
        <w:t xml:space="preserve"> </w:t>
      </w:r>
      <w:r>
        <w:rPr>
          <w:iCs/>
          <w:i/>
        </w:rPr>
        <w:t xml:space="preserve">Oikos</w:t>
      </w:r>
      <w:r>
        <w:t xml:space="preserve">, 35, 282–290.</w:t>
      </w:r>
    </w:p>
    <w:bookmarkEnd w:id="322"/>
    <w:bookmarkStart w:id="323"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23"/>
    <w:bookmarkStart w:id="324"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24"/>
    <w:bookmarkStart w:id="325"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25"/>
    <w:bookmarkStart w:id="326"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26"/>
    <w:bookmarkStart w:id="327"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27"/>
    <w:bookmarkStart w:id="328"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28"/>
    <w:bookmarkStart w:id="329"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29"/>
    <w:bookmarkStart w:id="330"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30"/>
    <w:bookmarkStart w:id="331"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31"/>
    <w:bookmarkStart w:id="332"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32"/>
    <w:bookmarkStart w:id="333"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33"/>
    <w:bookmarkStart w:id="334"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34"/>
    <w:bookmarkStart w:id="335"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35"/>
    <w:bookmarkStart w:id="337" w:name="ref-kelley1993a"/>
    <w:p>
      <w:pPr>
        <w:pStyle w:val="Bibliography"/>
      </w:pPr>
      <w:r>
        <w:t xml:space="preserve">Kelley, S.E. (1993).</w:t>
      </w:r>
      <w:r>
        <w:t xml:space="preserve"> </w:t>
      </w:r>
      <w:hyperlink r:id="rId336">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37"/>
    <w:bookmarkStart w:id="339" w:name="ref-kelley1994a"/>
    <w:p>
      <w:pPr>
        <w:pStyle w:val="Bibliography"/>
      </w:pPr>
      <w:r>
        <w:t xml:space="preserve">Kelley, S.E. (1994).</w:t>
      </w:r>
      <w:r>
        <w:t xml:space="preserve"> </w:t>
      </w:r>
      <w:hyperlink r:id="rId338">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39"/>
    <w:bookmarkStart w:id="340"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40"/>
    <w:bookmarkStart w:id="341"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41"/>
    <w:bookmarkStart w:id="342"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42"/>
    <w:bookmarkStart w:id="343"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43"/>
    <w:bookmarkStart w:id="344"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44"/>
    <w:bookmarkStart w:id="346" w:name="ref-lawrence2009a"/>
    <w:p>
      <w:pPr>
        <w:pStyle w:val="Bibliography"/>
      </w:pPr>
      <w:r>
        <w:t xml:space="preserve">Lawrence, C.R. (2009).</w:t>
      </w:r>
      <w:r>
        <w:t xml:space="preserve"> </w:t>
      </w:r>
      <w:hyperlink r:id="rId345">
        <w:r>
          <w:rPr>
            <w:rStyle w:val="Hyperlink"/>
          </w:rPr>
          <w:t xml:space="preserve">Charles Bonnet</w:t>
        </w:r>
        <w:r>
          <w:rPr>
            <w:rStyle w:val="Hyperlink"/>
          </w:rPr>
          <w:t xml:space="preserve"> </w:t>
        </w:r>
        <w:r>
          <w:rPr>
            <w:rStyle w:val="Hyperlink"/>
          </w:rPr>
          <w:t xml:space="preserve">(1720-1793)</w:t>
        </w:r>
      </w:hyperlink>
      <w:r>
        <w:t xml:space="preserve">.</w:t>
      </w:r>
    </w:p>
    <w:bookmarkEnd w:id="346"/>
    <w:bookmarkStart w:id="347"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47"/>
    <w:bookmarkStart w:id="348" w:name="ref-lerner1954a"/>
    <w:p>
      <w:pPr>
        <w:pStyle w:val="Bibliography"/>
      </w:pPr>
      <w:r>
        <w:t xml:space="preserve">Lerner, I.M. (1954).</w:t>
      </w:r>
      <w:r>
        <w:t xml:space="preserve"> </w:t>
      </w:r>
      <w:r>
        <w:rPr>
          <w:iCs/>
          <w:i/>
        </w:rPr>
        <w:t xml:space="preserve">Genetic homeostasis</w:t>
      </w:r>
      <w:r>
        <w:t xml:space="preserve">. John Wiley; Sons, Inc, New York.</w:t>
      </w:r>
    </w:p>
    <w:bookmarkEnd w:id="348"/>
    <w:bookmarkStart w:id="349"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49"/>
    <w:bookmarkStart w:id="350"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50"/>
    <w:bookmarkStart w:id="351"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51"/>
    <w:bookmarkStart w:id="352"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52"/>
    <w:bookmarkStart w:id="354" w:name="ref-levri2000a"/>
    <w:p>
      <w:pPr>
        <w:pStyle w:val="Bibliography"/>
      </w:pPr>
      <w:r>
        <w:t xml:space="preserve">Levri, E.P. &amp; Fisher, L.M. (2000).</w:t>
      </w:r>
      <w:r>
        <w:t xml:space="preserve"> </w:t>
      </w:r>
      <w:hyperlink r:id="rId353">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54"/>
    <w:bookmarkStart w:id="355"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55"/>
    <w:bookmarkStart w:id="357" w:name="ref-lewontin1971a"/>
    <w:p>
      <w:pPr>
        <w:pStyle w:val="Bibliography"/>
      </w:pPr>
      <w:r>
        <w:t xml:space="preserve">Lewontin, R.C. (1971).</w:t>
      </w:r>
      <w:r>
        <w:t xml:space="preserve"> </w:t>
      </w:r>
      <w:hyperlink r:id="rId356">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57"/>
    <w:bookmarkStart w:id="358"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58"/>
    <w:bookmarkStart w:id="359"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59"/>
    <w:bookmarkStart w:id="361" w:name="ref-lively1986c"/>
    <w:p>
      <w:pPr>
        <w:pStyle w:val="Bibliography"/>
      </w:pPr>
      <w:r>
        <w:t xml:space="preserve">Lively, C.M. (1986c).</w:t>
      </w:r>
      <w:r>
        <w:t xml:space="preserve"> </w:t>
      </w:r>
      <w:hyperlink r:id="rId360">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61"/>
    <w:bookmarkStart w:id="362"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62"/>
    <w:bookmarkStart w:id="363"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63"/>
    <w:bookmarkStart w:id="364"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64"/>
    <w:bookmarkStart w:id="365" w:name="ref-lively1996a"/>
    <w:p>
      <w:pPr>
        <w:pStyle w:val="Bibliography"/>
      </w:pPr>
      <w:r>
        <w:t xml:space="preserve">Lively, C.M. (1996). Host-parasite coevolution and sex.</w:t>
      </w:r>
      <w:r>
        <w:t xml:space="preserve"> </w:t>
      </w:r>
      <w:r>
        <w:rPr>
          <w:iCs/>
          <w:i/>
        </w:rPr>
        <w:t xml:space="preserve">Bioscience</w:t>
      </w:r>
      <w:r>
        <w:t xml:space="preserve">, 46, 107–109.</w:t>
      </w:r>
    </w:p>
    <w:bookmarkEnd w:id="365"/>
    <w:bookmarkStart w:id="366"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66"/>
    <w:bookmarkStart w:id="368" w:name="ref-lively1999a"/>
    <w:p>
      <w:pPr>
        <w:pStyle w:val="Bibliography"/>
      </w:pPr>
      <w:r>
        <w:t xml:space="preserve">Lively, C.M. (1999b).</w:t>
      </w:r>
      <w:r>
        <w:t xml:space="preserve"> </w:t>
      </w:r>
      <w:hyperlink r:id="rId367">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68"/>
    <w:bookmarkStart w:id="369"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69"/>
    <w:bookmarkStart w:id="370" w:name="ref-lively2006a"/>
    <w:p>
      <w:pPr>
        <w:pStyle w:val="Bibliography"/>
      </w:pPr>
      <w:r>
        <w:t xml:space="preserve">Lively, C.M. (2006). The ecology of virulence.</w:t>
      </w:r>
      <w:r>
        <w:t xml:space="preserve"> </w:t>
      </w:r>
      <w:r>
        <w:rPr>
          <w:iCs/>
          <w:i/>
        </w:rPr>
        <w:t xml:space="preserve">Ecology Letters</w:t>
      </w:r>
      <w:r>
        <w:t xml:space="preserve">, 9, 1089–1095.</w:t>
      </w:r>
    </w:p>
    <w:bookmarkEnd w:id="370"/>
    <w:bookmarkStart w:id="371"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71"/>
    <w:bookmarkStart w:id="372"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72"/>
    <w:bookmarkStart w:id="373"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73"/>
    <w:bookmarkStart w:id="374"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74"/>
    <w:bookmarkStart w:id="375"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75"/>
    <w:bookmarkStart w:id="377" w:name="ref-lively1994a"/>
    <w:p>
      <w:pPr>
        <w:pStyle w:val="Bibliography"/>
      </w:pPr>
      <w:r>
        <w:t xml:space="preserve">Lively, C.M. &amp; Howard, R.S. (1994).</w:t>
      </w:r>
      <w:r>
        <w:t xml:space="preserve"> </w:t>
      </w:r>
      <w:hyperlink r:id="rId376">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77"/>
    <w:bookmarkStart w:id="379" w:name="ref-lively1994b"/>
    <w:p>
      <w:pPr>
        <w:pStyle w:val="Bibliography"/>
      </w:pPr>
      <w:r>
        <w:t xml:space="preserve">Lively, C.M. &amp; Johnson, S.G. (1994).</w:t>
      </w:r>
      <w:r>
        <w:t xml:space="preserve"> </w:t>
      </w:r>
      <w:hyperlink r:id="rId378">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79"/>
    <w:bookmarkStart w:id="381" w:name="ref-lively1995a"/>
    <w:p>
      <w:pPr>
        <w:pStyle w:val="Bibliography"/>
      </w:pPr>
      <w:r>
        <w:t xml:space="preserve">Lively, C.M., Johnson, S.G., Delph, L.F. &amp; Clay, K. (1995).</w:t>
      </w:r>
      <w:r>
        <w:t xml:space="preserve"> </w:t>
      </w:r>
      <w:hyperlink r:id="rId380">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81"/>
    <w:bookmarkStart w:id="382"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82"/>
    <w:bookmarkStart w:id="383"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83"/>
    <w:bookmarkStart w:id="385" w:name="ref-lively2022a"/>
    <w:p>
      <w:pPr>
        <w:pStyle w:val="Bibliography"/>
      </w:pPr>
      <w:r>
        <w:t xml:space="preserve">Lively, C.M. &amp; Wade, M.J. (2022).</w:t>
      </w:r>
      <w:r>
        <w:t xml:space="preserve"> </w:t>
      </w:r>
      <w:hyperlink r:id="rId384">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85"/>
    <w:bookmarkStart w:id="387" w:name="ref-lively2021a"/>
    <w:p>
      <w:pPr>
        <w:pStyle w:val="Bibliography"/>
      </w:pPr>
      <w:r>
        <w:t xml:space="preserve">Lively, C.M., Xu, J. &amp; Ben-Ami, F. (2021).</w:t>
      </w:r>
      <w:r>
        <w:t xml:space="preserve"> </w:t>
      </w:r>
      <w:hyperlink r:id="rId386">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87"/>
    <w:bookmarkStart w:id="388"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388"/>
    <w:bookmarkStart w:id="389"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389"/>
    <w:bookmarkStart w:id="390"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390"/>
    <w:bookmarkStart w:id="392" w:name="ref-lythgoe2000a"/>
    <w:p>
      <w:pPr>
        <w:pStyle w:val="Bibliography"/>
      </w:pPr>
      <w:r>
        <w:t xml:space="preserve">Lythgoe, K.A. (2000).</w:t>
      </w:r>
      <w:r>
        <w:t xml:space="preserve"> </w:t>
      </w:r>
      <w:hyperlink r:id="rId391">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392"/>
    <w:bookmarkStart w:id="393"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393"/>
    <w:bookmarkStart w:id="395" w:name="ref-may1983a"/>
    <w:p>
      <w:pPr>
        <w:pStyle w:val="Bibliography"/>
      </w:pPr>
      <w:r>
        <w:t xml:space="preserve">May, R.M. &amp; Anderson, R.M. (1983).</w:t>
      </w:r>
      <w:r>
        <w:t xml:space="preserve"> </w:t>
      </w:r>
      <w:hyperlink r:id="rId394">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395"/>
    <w:bookmarkStart w:id="396"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396"/>
    <w:bookmarkStart w:id="397"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397"/>
    <w:bookmarkStart w:id="398" w:name="ref-maynard1978a"/>
    <w:p>
      <w:pPr>
        <w:pStyle w:val="Bibliography"/>
      </w:pPr>
      <w:r>
        <w:t xml:space="preserve">Maynard Smith, J. (1978).</w:t>
      </w:r>
      <w:r>
        <w:t xml:space="preserve"> </w:t>
      </w:r>
      <w:r>
        <w:rPr>
          <w:iCs/>
          <w:i/>
        </w:rPr>
        <w:t xml:space="preserve">The evolution of sex</w:t>
      </w:r>
      <w:r>
        <w:t xml:space="preserve">. Cambridge University Press.</w:t>
      </w:r>
    </w:p>
    <w:bookmarkEnd w:id="398"/>
    <w:bookmarkStart w:id="400" w:name="ref-maynard1980a"/>
    <w:p>
      <w:pPr>
        <w:pStyle w:val="Bibliography"/>
      </w:pPr>
      <w:r>
        <w:t xml:space="preserve">Maynard Smith, J. &amp; Hoekstra, R. (1980).</w:t>
      </w:r>
      <w:r>
        <w:t xml:space="preserve"> </w:t>
      </w:r>
      <w:hyperlink r:id="rId399">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00"/>
    <w:bookmarkStart w:id="401"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01"/>
    <w:bookmarkStart w:id="402"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02"/>
    <w:bookmarkStart w:id="403"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03"/>
    <w:bookmarkStart w:id="404"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04"/>
    <w:bookmarkStart w:id="405"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05"/>
    <w:bookmarkStart w:id="406"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06"/>
    <w:bookmarkStart w:id="407"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07"/>
    <w:bookmarkStart w:id="408"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08"/>
    <w:bookmarkStart w:id="409"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09"/>
    <w:bookmarkStart w:id="410"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10"/>
    <w:bookmarkStart w:id="411"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11"/>
    <w:bookmarkStart w:id="412"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12"/>
    <w:bookmarkStart w:id="414" w:name="ref-phillips1990a"/>
    <w:p>
      <w:pPr>
        <w:pStyle w:val="Bibliography"/>
      </w:pPr>
      <w:r>
        <w:t xml:space="preserve">Phillips, N.R. &amp; Lambert, D.M. (1990).</w:t>
      </w:r>
      <w:r>
        <w:t xml:space="preserve"> </w:t>
      </w:r>
      <w:hyperlink r:id="rId413">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14"/>
    <w:bookmarkStart w:id="415" w:name="ref-platt1964a"/>
    <w:p>
      <w:pPr>
        <w:pStyle w:val="Bibliography"/>
      </w:pPr>
      <w:r>
        <w:t xml:space="preserve">Platt, J.R. (1964). Strong inference.</w:t>
      </w:r>
      <w:r>
        <w:t xml:space="preserve"> </w:t>
      </w:r>
      <w:r>
        <w:rPr>
          <w:iCs/>
          <w:i/>
        </w:rPr>
        <w:t xml:space="preserve">Science</w:t>
      </w:r>
      <w:r>
        <w:t xml:space="preserve">, 146, 347–353.</w:t>
      </w:r>
    </w:p>
    <w:bookmarkEnd w:id="415"/>
    <w:bookmarkStart w:id="416"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16"/>
    <w:bookmarkStart w:id="417"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17"/>
    <w:bookmarkStart w:id="418"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18"/>
    <w:bookmarkStart w:id="419"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19"/>
    <w:bookmarkStart w:id="421" w:name="ref-Schenck1986a"/>
    <w:p>
      <w:pPr>
        <w:pStyle w:val="Bibliography"/>
      </w:pPr>
      <w:r>
        <w:t xml:space="preserve">Schenck, R.A. &amp; Vrijenhoek, R.C. (1986).</w:t>
      </w:r>
      <w:r>
        <w:t xml:space="preserve"> </w:t>
      </w:r>
      <w:hyperlink r:id="rId420">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21"/>
    <w:bookmarkStart w:id="422"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22"/>
    <w:bookmarkStart w:id="423"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23"/>
    <w:bookmarkStart w:id="424"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24"/>
    <w:bookmarkStart w:id="425" w:name="ref-smith2003a"/>
    <w:p>
      <w:pPr>
        <w:pStyle w:val="Bibliography"/>
      </w:pPr>
      <w:r>
        <w:t xml:space="preserve">Smith, S. (n.d.).</w:t>
      </w:r>
      <w:r>
        <w:t xml:space="preserve"> </w:t>
      </w:r>
      <w:hyperlink r:id="rId99">
        <w:r>
          <w:rPr>
            <w:rStyle w:val="Hyperlink"/>
          </w:rPr>
          <w:t xml:space="preserve">The mathematician</w:t>
        </w:r>
        <w:r>
          <w:rPr>
            <w:rStyle w:val="Hyperlink"/>
          </w:rPr>
          <w:t xml:space="preserve"> </w:t>
        </w:r>
        <w:r>
          <w:rPr>
            <w:rStyle w:val="Hyperlink"/>
          </w:rPr>
          <w:t xml:space="preserve">Lewis Carroll</w:t>
        </w:r>
      </w:hyperlink>
      <w:r>
        <w:t xml:space="preserve">.</w:t>
      </w:r>
    </w:p>
    <w:bookmarkEnd w:id="425"/>
    <w:bookmarkStart w:id="426" w:name="ref-sobels1964a"/>
    <w:p>
      <w:pPr>
        <w:pStyle w:val="Bibliography"/>
      </w:pPr>
      <w:r>
        <w:t xml:space="preserve">Sobels, F.H. (1964). Preface.</w:t>
      </w:r>
      <w:r>
        <w:t xml:space="preserve"> </w:t>
      </w:r>
      <w:r>
        <w:rPr>
          <w:iCs/>
          <w:i/>
        </w:rPr>
        <w:t xml:space="preserve">Mutation Research</w:t>
      </w:r>
      <w:r>
        <w:t xml:space="preserve">, 1, 1.</w:t>
      </w:r>
    </w:p>
    <w:bookmarkEnd w:id="426"/>
    <w:bookmarkStart w:id="427"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27"/>
    <w:bookmarkStart w:id="428"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28"/>
    <w:bookmarkStart w:id="429"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29"/>
    <w:bookmarkStart w:id="430"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30"/>
    <w:bookmarkStart w:id="431" w:name="ref-valen1973a"/>
    <w:p>
      <w:pPr>
        <w:pStyle w:val="Bibliography"/>
      </w:pPr>
      <w:r>
        <w:t xml:space="preserve">Van Valen, L. (1973). A new evolutionary law.</w:t>
      </w:r>
      <w:r>
        <w:t xml:space="preserve"> </w:t>
      </w:r>
      <w:r>
        <w:rPr>
          <w:iCs/>
          <w:i/>
        </w:rPr>
        <w:t xml:space="preserve">Evolutionary Theory</w:t>
      </w:r>
      <w:r>
        <w:t xml:space="preserve">, 1, 1–30.</w:t>
      </w:r>
    </w:p>
    <w:bookmarkEnd w:id="431"/>
    <w:bookmarkStart w:id="432"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32"/>
    <w:bookmarkStart w:id="433"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33"/>
    <w:bookmarkStart w:id="434"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34"/>
    <w:bookmarkStart w:id="435"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35"/>
    <w:bookmarkStart w:id="436"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36"/>
    <w:bookmarkStart w:id="437" w:name="ref-wallace1975a"/>
    <w:p>
      <w:pPr>
        <w:pStyle w:val="Bibliography"/>
      </w:pPr>
      <w:r>
        <w:t xml:space="preserve">Wallace, B. (1975). Hard and soft selection revisited.</w:t>
      </w:r>
      <w:r>
        <w:t xml:space="preserve"> </w:t>
      </w:r>
      <w:r>
        <w:rPr>
          <w:iCs/>
          <w:i/>
        </w:rPr>
        <w:t xml:space="preserve">Evolution</w:t>
      </w:r>
      <w:r>
        <w:t xml:space="preserve">, 29, 465–473.</w:t>
      </w:r>
    </w:p>
    <w:bookmarkEnd w:id="437"/>
    <w:bookmarkStart w:id="439" w:name="ref-weeks1996a"/>
    <w:p>
      <w:pPr>
        <w:pStyle w:val="Bibliography"/>
      </w:pPr>
      <w:r>
        <w:t xml:space="preserve">Weeks, S.C. (1996).</w:t>
      </w:r>
      <w:r>
        <w:t xml:space="preserve"> </w:t>
      </w:r>
      <w:hyperlink r:id="rId438">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39"/>
    <w:bookmarkStart w:id="440"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40"/>
    <w:bookmarkStart w:id="441"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41"/>
    <w:bookmarkStart w:id="442" w:name="ref-williams1975a"/>
    <w:p>
      <w:pPr>
        <w:pStyle w:val="Bibliography"/>
      </w:pPr>
      <w:r>
        <w:t xml:space="preserve">Williams, G.C. (1975).</w:t>
      </w:r>
      <w:r>
        <w:t xml:space="preserve"> </w:t>
      </w:r>
      <w:r>
        <w:rPr>
          <w:iCs/>
          <w:i/>
        </w:rPr>
        <w:t xml:space="preserve">Sex and evolution</w:t>
      </w:r>
      <w:r>
        <w:t xml:space="preserve">. Princeton University Press.</w:t>
      </w:r>
    </w:p>
    <w:bookmarkEnd w:id="442"/>
    <w:bookmarkStart w:id="443"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43"/>
    <w:bookmarkStart w:id="444"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44"/>
    <w:bookmarkStart w:id="445"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45"/>
    <w:bookmarkEnd w:id="446"/>
    <w:bookmarkEnd w:id="447"/>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46">
    <w:p>
      <w:pPr>
        <w:pStyle w:val="FootnoteText"/>
      </w:pPr>
      <w:r>
        <w:rPr>
          <w:rStyle w:val="FootnoteReference"/>
        </w:rPr>
        <w:footnoteRef/>
      </w:r>
      <w:r>
        <w:t xml:space="preserve"> </w:t>
      </w:r>
      <w:r>
        <w:t xml:space="preserve">Asexuals are often polyploid versions of their sexual ancestors.</w:t>
      </w:r>
    </w:p>
  </w:footnote>
  <w:footnote w:id="55">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61">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62">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63">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64">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68">
    <w:p>
      <w:pPr>
        <w:pStyle w:val="FootnoteText"/>
      </w:pPr>
      <w:r>
        <w:rPr>
          <w:rStyle w:val="FootnoteReference"/>
        </w:rPr>
        <w:footnoteRef/>
      </w:r>
      <w:r>
        <w:t xml:space="preserve"> </w:t>
      </w:r>
      <w:r>
        <w:t xml:space="preserve">I use slightly different variable names, and I try to simplify JMS’s original model.</w:t>
      </w:r>
    </w:p>
  </w:footnote>
  <w:footnote w:id="75">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76">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p>
  </w:footnote>
  <w:footnote w:id="77">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79">
    <w:p>
      <w:pPr>
        <w:pStyle w:val="FootnoteText"/>
      </w:pPr>
      <w:r>
        <w:rPr>
          <w:rStyle w:val="FootnoteReference"/>
        </w:rPr>
        <w:footnoteRef/>
      </w:r>
      <w:r>
        <w:t xml:space="preserve"> </w:t>
      </w:r>
      <w:r>
        <w:t xml:space="preserve">The bet-hedging idea dates to Daniel Bernoulli, a mathematical physicist, writing in 1738. Steve Stearns 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r>
        <w:t xml:space="preserve"> </w:t>
      </w:r>
      <w:r>
        <w:t xml:space="preserve">(</w:t>
      </w:r>
      <w:hyperlink w:anchor="ref-stearns2000a">
        <w:r>
          <w:rPr>
            <w:rStyle w:val="Hyperlink"/>
          </w:rPr>
          <w:t xml:space="preserve">2000</w:t>
        </w:r>
      </w:hyperlink>
      <w:r>
        <w:t xml:space="preserve">)</w:t>
      </w:r>
      <w:r>
        <w:t xml:space="preserve">.</w:t>
      </w:r>
    </w:p>
  </w:footnote>
  <w:footnote w:id="81">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 ideas</w:t>
      </w:r>
      <w:r>
        <w:t xml:space="preserve"> </w:t>
      </w:r>
      <w:r>
        <w:t xml:space="preserve">(</w:t>
      </w:r>
      <w:hyperlink w:anchor="ref-roughgarden1972a">
        <w:r>
          <w:rPr>
            <w:rStyle w:val="Hyperlink"/>
          </w:rPr>
          <w:t xml:space="preserve">1972</w:t>
        </w:r>
      </w:hyperlink>
      <w:r>
        <w:t xml:space="preserve">)</w:t>
      </w:r>
      <w:r>
        <w:t xml:space="preserve"> </w:t>
      </w:r>
      <w:r>
        <w:t xml:space="preserve">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82">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87">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89">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98">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 dissertation</w:t>
      </w:r>
      <w:r>
        <w:t xml:space="preserve"> </w:t>
      </w:r>
      <w:r>
        <w:t xml:space="preserve">(</w:t>
      </w:r>
      <w:hyperlink w:anchor="ref-jajszczok2017a">
        <w:r>
          <w:rPr>
            <w:rStyle w:val="Hyperlink"/>
          </w:rPr>
          <w:t xml:space="preserve">2017</w:t>
        </w:r>
      </w:hyperlink>
      <w:r>
        <w:t xml:space="preserve">)</w:t>
      </w:r>
      <w:r>
        <w:t xml:space="preserve">.</w:t>
      </w:r>
    </w:p>
  </w:footnote>
  <w:footnote w:id="100">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02">
    <w:p>
      <w:pPr>
        <w:pStyle w:val="FootnoteText"/>
      </w:pPr>
      <w:r>
        <w:rPr>
          <w:rStyle w:val="FootnoteReference"/>
        </w:rPr>
        <w:footnoteRef/>
      </w:r>
      <w:r>
        <w:t xml:space="preserve"> </w:t>
      </w:r>
      <w:r>
        <w:t xml:space="preserve">For example, Glesener and Tilman 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r>
        <w:t xml:space="preserve"> </w:t>
      </w:r>
      <w:r>
        <w:t xml:space="preserve">(</w:t>
      </w:r>
      <w:hyperlink w:anchor="ref-glesener1978a">
        <w:r>
          <w:rPr>
            <w:rStyle w:val="Hyperlink"/>
          </w:rPr>
          <w:t xml:space="preserve">1978</w:t>
        </w:r>
      </w:hyperlink>
      <w:r>
        <w:t xml:space="preserve">)</w:t>
      </w:r>
      <w:r>
        <w:t xml:space="preserve">.</w:t>
      </w:r>
    </w:p>
  </w:footnote>
  <w:footnote w:id="103">
    <w:p>
      <w:pPr>
        <w:pStyle w:val="FootnoteText"/>
      </w:pPr>
      <w:r>
        <w:rPr>
          <w:rStyle w:val="FootnoteReference"/>
        </w:rPr>
        <w:footnoteRef/>
      </w:r>
      <w:r>
        <w:t xml:space="preserve"> </w:t>
      </w:r>
      <w:r>
        <w:t xml:space="preserve">Jaenike 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r>
        <w:t xml:space="preserve"> </w:t>
      </w:r>
      <w:r>
        <w:t xml:space="preserve">(</w:t>
      </w:r>
      <w:hyperlink w:anchor="ref-jaenike1978a">
        <w:r>
          <w:rPr>
            <w:rStyle w:val="Hyperlink"/>
          </w:rPr>
          <w:t xml:space="preserve">1978</w:t>
        </w:r>
      </w:hyperlink>
      <w:r>
        <w:t xml:space="preserve">)</w:t>
      </w:r>
      <w:r>
        <w:t xml:space="preserve">.</w:t>
      </w:r>
    </w:p>
  </w:footnote>
  <w:footnote w:id="104">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05">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06">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 as part of a keynote lecture given to the American Genetic Association</w:t>
      </w:r>
      <w:r>
        <w:t xml:space="preserve"> </w:t>
      </w:r>
      <w:r>
        <w:t xml:space="preserve">(</w:t>
      </w:r>
      <w:hyperlink w:anchor="ref-otto2021a">
        <w:r>
          <w:rPr>
            <w:rStyle w:val="Hyperlink"/>
          </w:rPr>
          <w:t xml:space="preserve">2021</w:t>
        </w:r>
      </w:hyperlink>
      <w:r>
        <w:t xml:space="preserve">)</w:t>
      </w:r>
      <w:r>
        <w:t xml:space="preserve">.</w:t>
      </w:r>
    </w:p>
  </w:footnote>
  <w:footnote w:id="112">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2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2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31">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32">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33">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34">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0">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43">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4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45">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46">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47">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48">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5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58">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59">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0">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63">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72">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8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195">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06">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07">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16">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26">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27">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29">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39">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44">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49">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0">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55">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57">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66">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4C2BE0"/>
    <w:rPr>
      <w:rFonts w:ascii="ETBembo" w:hAnsi="ETBembo"/>
      <w:color w:themeColor="accent1" w:val="4F81BD"/>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48" Target="media/rId48.png" /><Relationship Type="http://schemas.openxmlformats.org/officeDocument/2006/relationships/image" Id="rId57" Target="media/rId57.jpg" /><Relationship Type="http://schemas.openxmlformats.org/officeDocument/2006/relationships/image" Id="rId72" Target="media/rId72.jp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13" Target="media/rId113.png" /><Relationship Type="http://schemas.openxmlformats.org/officeDocument/2006/relationships/image" Id="rId118" Target="media/rId118.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5" Target="media/rId135.jp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64" Target="media/rId164.png" /><Relationship Type="http://schemas.openxmlformats.org/officeDocument/2006/relationships/image" Id="rId169" Target="media/rId169.jpg" /><Relationship Type="http://schemas.openxmlformats.org/officeDocument/2006/relationships/image" Id="rId173" Target="media/rId173.jpg" /><Relationship Type="http://schemas.openxmlformats.org/officeDocument/2006/relationships/image" Id="rId177" Target="media/rId177.jp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6" Target="media/rId196.jpg" /><Relationship Type="http://schemas.openxmlformats.org/officeDocument/2006/relationships/image" Id="rId203" Target="media/rId203.jp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3" Target="media/rId223.jp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45" Target="media/rId245.png" /><Relationship Type="http://schemas.openxmlformats.org/officeDocument/2006/relationships/image" Id="rId251" Target="media/rId251.png" /><Relationship Type="http://schemas.openxmlformats.org/officeDocument/2006/relationships/image" Id="rId263" Target="media/rId263.png" /><Relationship Type="http://schemas.openxmlformats.org/officeDocument/2006/relationships/image" Id="rId28" Target="media/rId28.png" /><Relationship Type="http://schemas.openxmlformats.org/officeDocument/2006/relationships/hyperlink" Id="rId99" Target="http://www.herkimershideaway.org/writings/carroll.htm" TargetMode="External" /><Relationship Type="http://schemas.openxmlformats.org/officeDocument/2006/relationships/hyperlink" Id="rId52" Target="https://connect.posit.iu.edu/clonal-invasion-dynamics/" TargetMode="External" /><Relationship Type="http://schemas.openxmlformats.org/officeDocument/2006/relationships/hyperlink" Id="rId22" Target="https://creativecommons.org/licenses/by/4.0/#ref-appropriate-credit" TargetMode="External" /><Relationship Type="http://schemas.openxmlformats.org/officeDocument/2006/relationships/hyperlink" Id="rId25" Target="https://creativecommons.org/licenses/by/4.0/#ref-exception-or-limitation" TargetMode="External" /><Relationship Type="http://schemas.openxmlformats.org/officeDocument/2006/relationships/hyperlink" Id="rId23" Target="https://creativecommons.org/licenses/by/4.0/#ref-indicate-changes" TargetMode="External" /><Relationship Type="http://schemas.openxmlformats.org/officeDocument/2006/relationships/hyperlink" Id="rId26" Target="https://creativecommons.org/licenses/by/4.0/#ref-publicity-privacy-or-moral-rights" TargetMode="External" /><Relationship Type="http://schemas.openxmlformats.org/officeDocument/2006/relationships/hyperlink" Id="rId24" Target="https://creativecommons.org/licenses/by/4.0/#ref-technological-measures" TargetMode="External" /><Relationship Type="http://schemas.openxmlformats.org/officeDocument/2006/relationships/hyperlink" Id="rId384" Target="https://doi.org/10.1002/ece3.9136" TargetMode="External" /><Relationship Type="http://schemas.openxmlformats.org/officeDocument/2006/relationships/hyperlink" Id="rId399" Target="https://doi.org/10.1017/S0016672300013926" TargetMode="External" /><Relationship Type="http://schemas.openxmlformats.org/officeDocument/2006/relationships/hyperlink" Id="rId282" Target="https://doi.org/10.1017/S0022149X19000993" TargetMode="External" /><Relationship Type="http://schemas.openxmlformats.org/officeDocument/2006/relationships/hyperlink" Id="rId356" Target="https://doi.org/10.1073/pnas.68.5.984" TargetMode="External" /><Relationship Type="http://schemas.openxmlformats.org/officeDocument/2006/relationships/hyperlink" Id="rId413" Target="https://doi.org/10.1080/03014223.1990.10422600" TargetMode="External" /><Relationship Type="http://schemas.openxmlformats.org/officeDocument/2006/relationships/hyperlink" Id="rId309" Target="https://doi.org/10.1080/11250009909356270" TargetMode="External" /><Relationship Type="http://schemas.openxmlformats.org/officeDocument/2006/relationships/hyperlink" Id="rId367" Target="https://doi.org/10.1086/303210" TargetMode="External" /><Relationship Type="http://schemas.openxmlformats.org/officeDocument/2006/relationships/hyperlink" Id="rId301" Target="https://doi.org/10.1093/molbev/msad145" TargetMode="External" /><Relationship Type="http://schemas.openxmlformats.org/officeDocument/2006/relationships/hyperlink" Id="rId386" Target="https://doi.org/10.1098/rsbl.2021.0321" TargetMode="External" /><Relationship Type="http://schemas.openxmlformats.org/officeDocument/2006/relationships/hyperlink" Id="rId394" Target="https://doi.org/10.1098/rspb.1983.0075" TargetMode="External" /><Relationship Type="http://schemas.openxmlformats.org/officeDocument/2006/relationships/hyperlink" Id="rId378" Target="https://doi.org/10.1098/rspb.1994.0054" TargetMode="External" /><Relationship Type="http://schemas.openxmlformats.org/officeDocument/2006/relationships/hyperlink" Id="rId311" Target="https://doi.org/10.1098/rspb.2002.2182" TargetMode="External" /><Relationship Type="http://schemas.openxmlformats.org/officeDocument/2006/relationships/hyperlink" Id="rId376" Target="https://doi.org/10.1098/rstb.1994.0144" TargetMode="External" /><Relationship Type="http://schemas.openxmlformats.org/officeDocument/2006/relationships/hyperlink" Id="rId338" Target="https://doi.org/10.1098/rstb.1994.0146" TargetMode="External" /><Relationship Type="http://schemas.openxmlformats.org/officeDocument/2006/relationships/hyperlink" Id="rId391" Target="https://doi.org/10.1111/j.0014-3820.2000.tb00550.x" TargetMode="External" /><Relationship Type="http://schemas.openxmlformats.org/officeDocument/2006/relationships/hyperlink" Id="rId296" Target="https://doi.org/10.1111/j.1095-8312.1862.tb01218.x" TargetMode="External" /><Relationship Type="http://schemas.openxmlformats.org/officeDocument/2006/relationships/hyperlink" Id="rId336" Target="https://doi.org/10.1111/j.1442-1984.1993.tb00072.x" TargetMode="External" /><Relationship Type="http://schemas.openxmlformats.org/officeDocument/2006/relationships/hyperlink" Id="rId278" Target="https://doi.org/10.1111/j.1461-0248.2006.00905.x" TargetMode="External" /><Relationship Type="http://schemas.openxmlformats.org/officeDocument/2006/relationships/hyperlink" Id="rId360" Target="https://doi.org/10.1111/j.1558-5646.1986.tb00466.x" TargetMode="External" /><Relationship Type="http://schemas.openxmlformats.org/officeDocument/2006/relationships/hyperlink" Id="rId420" Target="https://doi.org/10.1111/j.1558-5646.1986.tb00573.x" TargetMode="External" /><Relationship Type="http://schemas.openxmlformats.org/officeDocument/2006/relationships/hyperlink" Id="rId438" Target="https://doi.org/10.1139/f96-041" TargetMode="External" /><Relationship Type="http://schemas.openxmlformats.org/officeDocument/2006/relationships/hyperlink" Id="rId353" Target="https://doi.org/10.1163/156853900502565" TargetMode="External" /><Relationship Type="http://schemas.openxmlformats.org/officeDocument/2006/relationships/hyperlink" Id="rId280" Target="https://doi.org/10.1371/journal.pgen.1006596" TargetMode="External" /><Relationship Type="http://schemas.openxmlformats.org/officeDocument/2006/relationships/hyperlink" Id="rId380" Target="https://doi.org/10.2307/1940718" TargetMode="External" /><Relationship Type="http://schemas.openxmlformats.org/officeDocument/2006/relationships/hyperlink" Id="rId292" Target="https://doi.org/10.3998/ptb.6959004.0008.003" TargetMode="External" /><Relationship Type="http://schemas.openxmlformats.org/officeDocument/2006/relationships/hyperlink" Id="rId33" Target="https://doi.org/10.5967/GBD3-KA07" TargetMode="External" /><Relationship Type="http://schemas.openxmlformats.org/officeDocument/2006/relationships/hyperlink" Id="rId345" Target="https://hdl.handle.net/10776/1745" TargetMode="External" /><Relationship Type="http://schemas.openxmlformats.org/officeDocument/2006/relationships/hyperlink" Id="rId31" Target="https://libraries.indiana.edu/scholarly-communication" TargetMode="External" /><Relationship Type="http://schemas.openxmlformats.org/officeDocument/2006/relationships/hyperlink" Id="rId256" Target="https://onlinelibrary.wiley.com/toc/14209101/1999/12/6" TargetMode="External" /><Relationship Type="http://schemas.openxmlformats.org/officeDocument/2006/relationships/hyperlink" Id="rId51" Target="https://raw.githubusercontent.com/IULibScholComm/through-the-looking-glass/main/sim%20for%20fig%201.2(ZMD).R" TargetMode="External" /><Relationship Type="http://schemas.openxmlformats.org/officeDocument/2006/relationships/hyperlink" Id="rId138" Target="https://www.bartzijlstra.com" TargetMode="External" /><Relationship Type="http://schemas.openxmlformats.org/officeDocument/2006/relationships/hyperlink" Id="rId299" Target="https://www.darwinproject.ac.uk/letter/?docId=letters/DCP-LETT-2869.xml" TargetMode="External" /><Relationship Type="http://schemas.openxmlformats.org/officeDocument/2006/relationships/hyperlink" Id="rId64"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99" Target="http://www.herkimershideaway.org/writings/carroll.htm" TargetMode="External" /><Relationship Type="http://schemas.openxmlformats.org/officeDocument/2006/relationships/hyperlink" Id="rId52" Target="https://connect.posit.iu.edu/clonal-invasion-dynamics/" TargetMode="External" /><Relationship Type="http://schemas.openxmlformats.org/officeDocument/2006/relationships/hyperlink" Id="rId22" Target="https://creativecommons.org/licenses/by/4.0/#ref-appropriate-credit" TargetMode="External" /><Relationship Type="http://schemas.openxmlformats.org/officeDocument/2006/relationships/hyperlink" Id="rId25" Target="https://creativecommons.org/licenses/by/4.0/#ref-exception-or-limitation" TargetMode="External" /><Relationship Type="http://schemas.openxmlformats.org/officeDocument/2006/relationships/hyperlink" Id="rId23" Target="https://creativecommons.org/licenses/by/4.0/#ref-indicate-changes" TargetMode="External" /><Relationship Type="http://schemas.openxmlformats.org/officeDocument/2006/relationships/hyperlink" Id="rId26" Target="https://creativecommons.org/licenses/by/4.0/#ref-publicity-privacy-or-moral-rights" TargetMode="External" /><Relationship Type="http://schemas.openxmlformats.org/officeDocument/2006/relationships/hyperlink" Id="rId24" Target="https://creativecommons.org/licenses/by/4.0/#ref-technological-measures" TargetMode="External" /><Relationship Type="http://schemas.openxmlformats.org/officeDocument/2006/relationships/hyperlink" Id="rId384" Target="https://doi.org/10.1002/ece3.9136" TargetMode="External" /><Relationship Type="http://schemas.openxmlformats.org/officeDocument/2006/relationships/hyperlink" Id="rId399" Target="https://doi.org/10.1017/S0016672300013926" TargetMode="External" /><Relationship Type="http://schemas.openxmlformats.org/officeDocument/2006/relationships/hyperlink" Id="rId282" Target="https://doi.org/10.1017/S0022149X19000993" TargetMode="External" /><Relationship Type="http://schemas.openxmlformats.org/officeDocument/2006/relationships/hyperlink" Id="rId356" Target="https://doi.org/10.1073/pnas.68.5.984" TargetMode="External" /><Relationship Type="http://schemas.openxmlformats.org/officeDocument/2006/relationships/hyperlink" Id="rId413" Target="https://doi.org/10.1080/03014223.1990.10422600" TargetMode="External" /><Relationship Type="http://schemas.openxmlformats.org/officeDocument/2006/relationships/hyperlink" Id="rId309" Target="https://doi.org/10.1080/11250009909356270" TargetMode="External" /><Relationship Type="http://schemas.openxmlformats.org/officeDocument/2006/relationships/hyperlink" Id="rId367" Target="https://doi.org/10.1086/303210" TargetMode="External" /><Relationship Type="http://schemas.openxmlformats.org/officeDocument/2006/relationships/hyperlink" Id="rId301" Target="https://doi.org/10.1093/molbev/msad145" TargetMode="External" /><Relationship Type="http://schemas.openxmlformats.org/officeDocument/2006/relationships/hyperlink" Id="rId386" Target="https://doi.org/10.1098/rsbl.2021.0321" TargetMode="External" /><Relationship Type="http://schemas.openxmlformats.org/officeDocument/2006/relationships/hyperlink" Id="rId394" Target="https://doi.org/10.1098/rspb.1983.0075" TargetMode="External" /><Relationship Type="http://schemas.openxmlformats.org/officeDocument/2006/relationships/hyperlink" Id="rId378" Target="https://doi.org/10.1098/rspb.1994.0054" TargetMode="External" /><Relationship Type="http://schemas.openxmlformats.org/officeDocument/2006/relationships/hyperlink" Id="rId311" Target="https://doi.org/10.1098/rspb.2002.2182" TargetMode="External" /><Relationship Type="http://schemas.openxmlformats.org/officeDocument/2006/relationships/hyperlink" Id="rId376" Target="https://doi.org/10.1098/rstb.1994.0144" TargetMode="External" /><Relationship Type="http://schemas.openxmlformats.org/officeDocument/2006/relationships/hyperlink" Id="rId338" Target="https://doi.org/10.1098/rstb.1994.0146" TargetMode="External" /><Relationship Type="http://schemas.openxmlformats.org/officeDocument/2006/relationships/hyperlink" Id="rId391" Target="https://doi.org/10.1111/j.0014-3820.2000.tb00550.x" TargetMode="External" /><Relationship Type="http://schemas.openxmlformats.org/officeDocument/2006/relationships/hyperlink" Id="rId296" Target="https://doi.org/10.1111/j.1095-8312.1862.tb01218.x" TargetMode="External" /><Relationship Type="http://schemas.openxmlformats.org/officeDocument/2006/relationships/hyperlink" Id="rId336" Target="https://doi.org/10.1111/j.1442-1984.1993.tb00072.x" TargetMode="External" /><Relationship Type="http://schemas.openxmlformats.org/officeDocument/2006/relationships/hyperlink" Id="rId278" Target="https://doi.org/10.1111/j.1461-0248.2006.00905.x" TargetMode="External" /><Relationship Type="http://schemas.openxmlformats.org/officeDocument/2006/relationships/hyperlink" Id="rId360" Target="https://doi.org/10.1111/j.1558-5646.1986.tb00466.x" TargetMode="External" /><Relationship Type="http://schemas.openxmlformats.org/officeDocument/2006/relationships/hyperlink" Id="rId420" Target="https://doi.org/10.1111/j.1558-5646.1986.tb00573.x" TargetMode="External" /><Relationship Type="http://schemas.openxmlformats.org/officeDocument/2006/relationships/hyperlink" Id="rId438" Target="https://doi.org/10.1139/f96-041" TargetMode="External" /><Relationship Type="http://schemas.openxmlformats.org/officeDocument/2006/relationships/hyperlink" Id="rId353" Target="https://doi.org/10.1163/156853900502565" TargetMode="External" /><Relationship Type="http://schemas.openxmlformats.org/officeDocument/2006/relationships/hyperlink" Id="rId280" Target="https://doi.org/10.1371/journal.pgen.1006596" TargetMode="External" /><Relationship Type="http://schemas.openxmlformats.org/officeDocument/2006/relationships/hyperlink" Id="rId380" Target="https://doi.org/10.2307/1940718" TargetMode="External" /><Relationship Type="http://schemas.openxmlformats.org/officeDocument/2006/relationships/hyperlink" Id="rId292" Target="https://doi.org/10.3998/ptb.6959004.0008.003" TargetMode="External" /><Relationship Type="http://schemas.openxmlformats.org/officeDocument/2006/relationships/hyperlink" Id="rId33" Target="https://doi.org/10.5967/GBD3-KA07" TargetMode="External" /><Relationship Type="http://schemas.openxmlformats.org/officeDocument/2006/relationships/hyperlink" Id="rId345" Target="https://hdl.handle.net/10776/1745" TargetMode="External" /><Relationship Type="http://schemas.openxmlformats.org/officeDocument/2006/relationships/hyperlink" Id="rId31" Target="https://libraries.indiana.edu/scholarly-communication" TargetMode="External" /><Relationship Type="http://schemas.openxmlformats.org/officeDocument/2006/relationships/hyperlink" Id="rId256" Target="https://onlinelibrary.wiley.com/toc/14209101/1999/12/6" TargetMode="External" /><Relationship Type="http://schemas.openxmlformats.org/officeDocument/2006/relationships/hyperlink" Id="rId51" Target="https://raw.githubusercontent.com/IULibScholComm/through-the-looking-glass/main/sim%20for%20fig%201.2(ZMD).R" TargetMode="External" /><Relationship Type="http://schemas.openxmlformats.org/officeDocument/2006/relationships/hyperlink" Id="rId138" Target="https://www.bartzijlstra.com" TargetMode="External" /><Relationship Type="http://schemas.openxmlformats.org/officeDocument/2006/relationships/hyperlink" Id="rId299" Target="https://www.darwinproject.ac.uk/letter/?docId=letters/DCP-LETT-2869.xml" TargetMode="External" /><Relationship Type="http://schemas.openxmlformats.org/officeDocument/2006/relationships/hyperlink" Id="rId64"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language>en-US</dc:language>
  <dc:subject>evolutionary biology</dc:subject>
  <cp:keywords/>
  <dcterms:created xsi:type="dcterms:W3CDTF">2023-12-21T23:01:27Z</dcterms:created>
  <dcterms:modified xsi:type="dcterms:W3CDTF">2023-12-21T23:01:27Z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2023</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oc-title">
    <vt:lpwstr>Contents</vt:lpwstr>
  </property>
</Properties>
</file>